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NCS Multistage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001-38071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46-1527455</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spacing w:after="0" w:line="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19350 State Highway 249, Suite 600,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77070</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(281) 453-2222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98"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4"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NCSM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On May 31, 2026, NCS Multistage Holdings, Inc., a Delaware corporation (“</w:t>
      </w:r>
      <w:r>
        <w:rPr>
          <w:rFonts w:ascii="Times New Roman" w:cs="Times New Roman" w:eastAsia="Times New Roman" w:hAnsi="Times New Roman"/>
          <w:sz w:val="17"/>
          <w:szCs w:val="17"/>
          <w:u w:val="single" w:color="auto"/>
          <w:color w:val="auto"/>
        </w:rPr>
        <w:t>NCS</w:t>
      </w:r>
      <w:r>
        <w:rPr>
          <w:rFonts w:ascii="Times New Roman" w:cs="Times New Roman" w:eastAsia="Times New Roman" w:hAnsi="Times New Roman"/>
          <w:sz w:val="17"/>
          <w:szCs w:val="17"/>
          <w:color w:val="auto"/>
        </w:rPr>
        <w:t>”), entered into an Agreement and Plan of Merger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among NCS, Weatherford International plc, an Irish public limited company (“</w:t>
      </w:r>
      <w:r>
        <w:rPr>
          <w:rFonts w:ascii="Times New Roman" w:cs="Times New Roman" w:eastAsia="Times New Roman" w:hAnsi="Times New Roman"/>
          <w:sz w:val="17"/>
          <w:szCs w:val="17"/>
          <w:u w:val="single" w:color="auto"/>
          <w:color w:val="auto"/>
        </w:rPr>
        <w:t>Weatherford</w:t>
      </w:r>
      <w:r>
        <w:rPr>
          <w:rFonts w:ascii="Times New Roman" w:cs="Times New Roman" w:eastAsia="Times New Roman" w:hAnsi="Times New Roman"/>
          <w:sz w:val="17"/>
          <w:szCs w:val="17"/>
          <w:color w:val="auto"/>
        </w:rPr>
        <w:t>”), and Trinity Bell Sub, Inc., a Delaware corporation and wholly owned subsidiary of Weatherford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pursuant to which, upon the terms and subject to the conditions set forth therein, Merger Sub will merge with and into NCS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NCS surviving the Merger as a wholly owned subsidiary of Weatherford. Each of the board of directors of Weatherford and the board of directors of NCS (the “</w:t>
      </w:r>
      <w:r>
        <w:rPr>
          <w:rFonts w:ascii="Times New Roman" w:cs="Times New Roman" w:eastAsia="Times New Roman" w:hAnsi="Times New Roman"/>
          <w:sz w:val="17"/>
          <w:szCs w:val="17"/>
          <w:u w:val="single" w:color="auto"/>
          <w:color w:val="auto"/>
        </w:rPr>
        <w:t>NCS Board</w:t>
      </w:r>
      <w:r>
        <w:rPr>
          <w:rFonts w:ascii="Times New Roman" w:cs="Times New Roman" w:eastAsia="Times New Roman" w:hAnsi="Times New Roman"/>
          <w:sz w:val="17"/>
          <w:szCs w:val="17"/>
          <w:color w:val="auto"/>
        </w:rPr>
        <w:t>”) has unanimously approved the Merger Agreement. The Merger is subject to certain customary closing conditions, including regulatory approvals, and is expected to close in the second half of 2026.</w:t>
      </w:r>
    </w:p>
    <w:p>
      <w:pPr>
        <w:spacing w:after="0" w:line="17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Each holder of common stock of NCS, par value $0.01 per share (the “</w:t>
      </w:r>
      <w:r>
        <w:rPr>
          <w:rFonts w:ascii="Times New Roman" w:cs="Times New Roman" w:eastAsia="Times New Roman" w:hAnsi="Times New Roman"/>
          <w:sz w:val="18"/>
          <w:szCs w:val="18"/>
          <w:u w:val="single" w:color="auto"/>
          <w:color w:val="auto"/>
        </w:rPr>
        <w:t>NCS Common Stock</w:t>
      </w:r>
      <w:r>
        <w:rPr>
          <w:rFonts w:ascii="Times New Roman" w:cs="Times New Roman" w:eastAsia="Times New Roman" w:hAnsi="Times New Roman"/>
          <w:sz w:val="18"/>
          <w:szCs w:val="18"/>
          <w:color w:val="auto"/>
        </w:rPr>
        <w:t>”), excluding any excluded shares, will have the right to elect to receive from Weatherford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for each share of NCS Common Stock held:</w:t>
      </w:r>
    </w:p>
    <w:p>
      <w:pPr>
        <w:ind w:left="4" w:right="120" w:hanging="4"/>
        <w:spacing w:after="0" w:line="253"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0.5537 ordinary shares, par value $0.001 per share of Weatherford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which is not subject to any cap or proration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such exchange ratio, the “</w:t>
      </w:r>
      <w:r>
        <w:rPr>
          <w:rFonts w:ascii="Times New Roman" w:cs="Times New Roman" w:eastAsia="Times New Roman" w:hAnsi="Times New Roman"/>
          <w:sz w:val="18"/>
          <w:szCs w:val="18"/>
          <w:u w:val="single" w:color="auto"/>
          <w:color w:val="auto"/>
        </w:rPr>
        <w:t>Share Consideration Exchange Ratio</w:t>
      </w:r>
      <w:r>
        <w:rPr>
          <w:rFonts w:ascii="Times New Roman" w:cs="Times New Roman" w:eastAsia="Times New Roman" w:hAnsi="Times New Roman"/>
          <w:sz w:val="18"/>
          <w:szCs w:val="18"/>
          <w:color w:val="auto"/>
        </w:rPr>
        <w:t>”) or (b) (1) cash in an amount equivalent to 0.1371 Ordinary Shares as of the Effective Time (subject to a maximum cash election amount), and (2) 0.2392 Ordinary Shares (collectively, the “</w:t>
      </w:r>
      <w:r>
        <w:rPr>
          <w:rFonts w:ascii="Times New Roman" w:cs="Times New Roman" w:eastAsia="Times New Roman" w:hAnsi="Times New Roman"/>
          <w:sz w:val="18"/>
          <w:szCs w:val="18"/>
          <w:u w:val="single" w:color="auto"/>
          <w:color w:val="auto"/>
        </w:rPr>
        <w:t>Mixed Consideration</w:t>
      </w:r>
      <w:r>
        <w:rPr>
          <w:rFonts w:ascii="Times New Roman" w:cs="Times New Roman" w:eastAsia="Times New Roman" w:hAnsi="Times New Roman"/>
          <w:sz w:val="18"/>
          <w:szCs w:val="18"/>
          <w:color w:val="auto"/>
        </w:rPr>
        <w:t>” and, together with the Share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At the Effective Time, the NCS Common Stock that is held by holders that do not timely make an election will convert into the right to receive the Share Consideration.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Effective Time, (i) (a) each NCS restricted stock unit (“</w:t>
      </w:r>
      <w:r>
        <w:rPr>
          <w:rFonts w:ascii="Times New Roman" w:cs="Times New Roman" w:eastAsia="Times New Roman" w:hAnsi="Times New Roman"/>
          <w:sz w:val="18"/>
          <w:szCs w:val="18"/>
          <w:u w:val="single" w:color="auto"/>
          <w:color w:val="auto"/>
        </w:rPr>
        <w:t>NCS RSU</w:t>
      </w:r>
      <w:r>
        <w:rPr>
          <w:rFonts w:ascii="Times New Roman" w:cs="Times New Roman" w:eastAsia="Times New Roman" w:hAnsi="Times New Roman"/>
          <w:sz w:val="18"/>
          <w:szCs w:val="18"/>
          <w:color w:val="auto"/>
        </w:rPr>
        <w:t>”) and NCS equivalent stock unit (“</w:t>
      </w:r>
      <w:r>
        <w:rPr>
          <w:rFonts w:ascii="Times New Roman" w:cs="Times New Roman" w:eastAsia="Times New Roman" w:hAnsi="Times New Roman"/>
          <w:sz w:val="18"/>
          <w:szCs w:val="18"/>
          <w:u w:val="single" w:color="auto"/>
          <w:color w:val="auto"/>
        </w:rPr>
        <w:t>NCS ESU</w:t>
      </w:r>
      <w:r>
        <w:rPr>
          <w:rFonts w:ascii="Times New Roman" w:cs="Times New Roman" w:eastAsia="Times New Roman" w:hAnsi="Times New Roman"/>
          <w:sz w:val="18"/>
          <w:szCs w:val="18"/>
          <w:color w:val="auto"/>
        </w:rPr>
        <w:t>”) (other than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NCS RSU granted to a non-employee director of NCS (“</w:t>
      </w:r>
      <w:r>
        <w:rPr>
          <w:rFonts w:ascii="Times New Roman" w:cs="Times New Roman" w:eastAsia="Times New Roman" w:hAnsi="Times New Roman"/>
          <w:sz w:val="18"/>
          <w:szCs w:val="18"/>
          <w:u w:val="single" w:color="auto"/>
          <w:color w:val="auto"/>
        </w:rPr>
        <w:t>NCS DSU</w:t>
      </w:r>
      <w:r>
        <w:rPr>
          <w:rFonts w:ascii="Times New Roman" w:cs="Times New Roman" w:eastAsia="Times New Roman" w:hAnsi="Times New Roman"/>
          <w:sz w:val="18"/>
          <w:szCs w:val="18"/>
          <w:color w:val="auto"/>
        </w:rPr>
        <w:t>”)) that is outstanding immediately prior to closing, whether or not vested, will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assumed by Weatherford (the “</w:t>
      </w:r>
      <w:r>
        <w:rPr>
          <w:rFonts w:ascii="Times New Roman" w:cs="Times New Roman" w:eastAsia="Times New Roman" w:hAnsi="Times New Roman"/>
          <w:sz w:val="18"/>
          <w:szCs w:val="18"/>
          <w:u w:val="single" w:color="auto"/>
          <w:color w:val="auto"/>
        </w:rPr>
        <w:t>Assumed RSUs</w:t>
      </w:r>
      <w:r>
        <w:rPr>
          <w:rFonts w:ascii="Times New Roman" w:cs="Times New Roman" w:eastAsia="Times New Roman" w:hAnsi="Times New Roman"/>
          <w:sz w:val="18"/>
          <w:szCs w:val="18"/>
          <w:color w:val="auto"/>
        </w:rPr>
        <w:t>”), (b) each Assumed RSU will continue to have, and be subject to, the same terms and conditions,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including vesting and forfeiture restrictions, provided that with respect to each NCS ESU, the Max Value Cap (as defined in the applicable award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will cease to apply to such NCS ESU and (c) each Assumed RSU will automatically be converted into an award covering a number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Ordinary Shares equal to the product of the number of shares of NCS Common Stock subject to the Assumed RSU immediately prior to the Effective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multiplied by the Share Consideration Exchange Ratio, rounded down to the nearest whole share; (ii) (a) each NCS option (“</w:t>
      </w:r>
      <w:r>
        <w:rPr>
          <w:rFonts w:ascii="Times New Roman" w:cs="Times New Roman" w:eastAsia="Times New Roman" w:hAnsi="Times New Roman"/>
          <w:sz w:val="18"/>
          <w:szCs w:val="18"/>
          <w:u w:val="single" w:color="auto"/>
          <w:color w:val="auto"/>
        </w:rPr>
        <w:t>NCS Option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whether vested or unvested, that is outstanding immediately prior to closing and has a per share exercise price less than the value of the Share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Consideration will be assumed by Weatherford (the “</w:t>
      </w:r>
      <w:r>
        <w:rPr>
          <w:rFonts w:ascii="Times New Roman" w:cs="Times New Roman" w:eastAsia="Times New Roman" w:hAnsi="Times New Roman"/>
          <w:sz w:val="18"/>
          <w:szCs w:val="18"/>
          <w:u w:val="single" w:color="auto"/>
          <w:color w:val="auto"/>
        </w:rPr>
        <w:t>Assumed Options</w:t>
      </w:r>
      <w:r>
        <w:rPr>
          <w:rFonts w:ascii="Times New Roman" w:cs="Times New Roman" w:eastAsia="Times New Roman" w:hAnsi="Times New Roman"/>
          <w:sz w:val="18"/>
          <w:szCs w:val="18"/>
          <w:color w:val="auto"/>
        </w:rPr>
        <w:t>”), and each Assumed Option will continue to have, and be subject to, the same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terms and conditions, including vesting and forfeiture restrictions, and will automatically be converted into an option to acquire a number of Ordinary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equal to the product of the number of shares of NCS Common Stock underlying such NCS Option multiplied by the Share Consideration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Exchange Ratio, rounded down to the nearest whole number, with an adjusted exercise price, and (b) each NCS Option, whether vested or unvested, that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outstanding immediately prior to the Effective Time and has a per share exercise price equal to or greater than the value of the Share Consideration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 at the Effective Time, be cancelled without consideration and be of no further force and effect; and (iii) (a) each NCS performance stock unit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NCS PSU</w:t>
      </w:r>
      <w:r>
        <w:rPr>
          <w:rFonts w:ascii="Times New Roman" w:cs="Times New Roman" w:eastAsia="Times New Roman" w:hAnsi="Times New Roman"/>
          <w:sz w:val="18"/>
          <w:szCs w:val="18"/>
          <w:color w:val="auto"/>
        </w:rPr>
        <w:t>”) that is outstanding immediately prior to closing, whether or not vested, will be assumed by Weatherford (the “</w:t>
      </w:r>
      <w:r>
        <w:rPr>
          <w:rFonts w:ascii="Times New Roman" w:cs="Times New Roman" w:eastAsia="Times New Roman" w:hAnsi="Times New Roman"/>
          <w:sz w:val="18"/>
          <w:szCs w:val="18"/>
          <w:u w:val="single" w:color="auto"/>
          <w:color w:val="auto"/>
        </w:rPr>
        <w:t>Assumed PSUs</w:t>
      </w:r>
      <w:r>
        <w:rPr>
          <w:rFonts w:ascii="Times New Roman" w:cs="Times New Roman" w:eastAsia="Times New Roman" w:hAnsi="Times New Roman"/>
          <w:sz w:val="18"/>
          <w:szCs w:val="18"/>
          <w:color w:val="auto"/>
        </w:rPr>
        <w:t>”), (b)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Assumed PSU will continue to have, and be subject to, the same terms and conditions, including vesting and forfeiture restrictions, except that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performance goals will be deemed satisfied at the greater of target and actual level of achievement as of the date of the Merger Agreement,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determined by the NCS Board, and (c) each Assumed PSU will automatically be converted into an award covering a number of Ordinary Shares based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the Share Consideration Exchange Ratio. NCS DSUs will automatically vest and settle in shares of NCS Common Stock immediately prior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Time.</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customary closing conditions, including: (i) obtaining a written consent from Consenting Stockholders to approve and adopt the Merger Agreement, which consent has been obtained as outlined below; (ii) no law, injunction, judgment, order or decree exists that would prohibit the Merger; (iii) the expiration or termination of review under the Hart-Scott-Rodino Antitrust Improvements Act of 1976, as amended; (iv) the receipt of certain other material regulatory consents and approvals; (v) a registration statement on Form S-4 to be filed in connection with the Merger has been declared effective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(vi) accuracy of representations and warranties of the respective parties which are generally subject to customary materiality qualifiers; (vii) performance of obligations and compliance with covenants in the Merger Agreement in all material respects; (viii) delivery by an executive officer of each</w:t>
      </w:r>
    </w:p>
    <w:p>
      <w:pPr>
        <w:sectPr>
          <w:pgSz w:w="11900" w:h="16838" w:orient="portrait"/>
          <w:cols w:equalWidth="0" w:num="1">
            <w:col w:w="11004"/>
          </w:cols>
          <w:pgMar w:left="436" w:top="293" w:right="459" w:bottom="1440" w:gutter="0" w:footer="0" w:header="0"/>
        </w:sectPr>
      </w:pPr>
    </w:p>
    <w:bookmarkStart w:id="2" w:name="page3"/>
    <w:bookmarkEnd w:id="2"/>
    <w:p>
      <w:pPr>
        <w:ind w:left="4"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party of a customary officer’s certificate; (ix) no Material Adverse Effect has occurred with respect to either party; (x) receipt by NCS of a certain closing tax opinion; and (xi) NCS taking certain actions with respect to pending Canadian tax matters.</w:t>
      </w:r>
    </w:p>
    <w:p>
      <w:pPr>
        <w:spacing w:after="0" w:line="162" w:lineRule="exact"/>
        <w:rPr>
          <w:sz w:val="20"/>
          <w:szCs w:val="20"/>
          <w:color w:val="auto"/>
        </w:rPr>
      </w:pPr>
    </w:p>
    <w:p>
      <w:pPr>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On May 31, 2026, holders of more than 50% of the outstanding NCS Common Stock executed and delivered a written consent adopting and approving the Merger Agreement, which consent (the “</w:t>
      </w:r>
      <w:r>
        <w:rPr>
          <w:rFonts w:ascii="Times New Roman" w:cs="Times New Roman" w:eastAsia="Times New Roman" w:hAnsi="Times New Roman"/>
          <w:sz w:val="18"/>
          <w:szCs w:val="18"/>
          <w:u w:val="single" w:color="auto"/>
          <w:color w:val="auto"/>
        </w:rPr>
        <w:t>NCS Stockholder Consent</w:t>
      </w:r>
      <w:r>
        <w:rPr>
          <w:rFonts w:ascii="Times New Roman" w:cs="Times New Roman" w:eastAsia="Times New Roman" w:hAnsi="Times New Roman"/>
          <w:sz w:val="18"/>
          <w:szCs w:val="18"/>
          <w:color w:val="auto"/>
        </w:rPr>
        <w:t>”) became effective immediately following the execution of the Merger Agreement. As a result of the NCS Stockholder Consent, no further approval by the stockholders of NCS is required to consummate the transactions contemplated by the Merger Agreement.</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also contains customary covenants and agreements, including covenants and agreements relating to (i) the conduct of each of NCS’s and Weatherford’s business between the date of the signing of the Merger Agreement and the closing date of the Merger and (ii) the efforts of the parties to cause the Merger to be completed, including actions which may be necessary to obtain the required regulatory consents and approvals for the transaction.</w:t>
      </w:r>
    </w:p>
    <w:p>
      <w:pPr>
        <w:spacing w:after="0" w:line="18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customary termination rights for NCS and Weatherford, including, among others, (i) the right of either party to terminate (a) with mutual written consent, (b) if the Merger has not been completed by May 31,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and (c) if a final, nonappealable order prevents the consummation of the Merger; (ii) NCS may terminate if (a) NCS enters into a definitive agreement providing for a Superior Proposal provided NCS has complied with certain no-shop obligations, (b) Weatherford has breached any representation, warranty or covenant such that a condition to closing cannot be satisfied, and the breach cannot be cured (or such breach remains uncured for 30 days) after the NCS’s written notice of such breach, and (c) a novation contemplated by the Merger Agreement is not effective by the day following the date on which the closing of Weatherford’s pending redomestication occurs, assuming closing (the “</w:t>
      </w:r>
      <w:r>
        <w:rPr>
          <w:rFonts w:ascii="Times New Roman" w:cs="Times New Roman" w:eastAsia="Times New Roman" w:hAnsi="Times New Roman"/>
          <w:sz w:val="18"/>
          <w:szCs w:val="18"/>
          <w:u w:val="single" w:color="auto"/>
          <w:color w:val="auto"/>
        </w:rPr>
        <w:t>Novation</w:t>
      </w:r>
      <w:r>
        <w:rPr>
          <w:rFonts w:ascii="Times New Roman" w:cs="Times New Roman" w:eastAsia="Times New Roman" w:hAnsi="Times New Roman"/>
          <w:sz w:val="18"/>
          <w:szCs w:val="18"/>
          <w:color w:val="auto"/>
        </w:rPr>
        <w:t>”); and (iii) Weatherford may terminate if NCS has breached any representation, warranty or covenant such that a condition to closing cannot be satisfied, and the breach cannot be cured (or such breach remains uncured for 30 days) after Weatherford’s written notice of such breach.</w:t>
      </w:r>
    </w:p>
    <w:p>
      <w:pPr>
        <w:spacing w:after="0" w:line="188"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The Merger Agreement further provides that, upon termination of the Merger Agreement under certain circumstances, (i) Weatherford will be obligated to pay a termination fee of $9,700,000 if (a) the Merger Agreement is terminated by NCS pursuant to a failure to timely effect the Novation or</w:t>
      </w:r>
    </w:p>
    <w:p>
      <w:pPr>
        <w:spacing w:after="0" w:line="1" w:lineRule="exact"/>
        <w:rPr>
          <w:sz w:val="20"/>
          <w:szCs w:val="20"/>
          <w:color w:val="auto"/>
        </w:rPr>
      </w:pPr>
    </w:p>
    <w:p>
      <w:pPr>
        <w:ind w:left="4" w:hanging="4"/>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NCS due to Weatherford’s breach of certain specified conditions of the merger, and NCS elects to receive the termination fee and (ii) NCS will be obligated to pay a termination fee of $5,500,000 if NCS terminates the Merger Agreement to enter into a definitive agreement providing for a superior proposal or if Weatherford terminates the Merger Agreement after the NCS Board has effected a change of its recommendation.</w:t>
      </w:r>
    </w:p>
    <w:p>
      <w:pPr>
        <w:spacing w:after="0" w:line="189"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directors and officers of Merger Sub immediately prior to the Effective Time will become the directors and officers, respectively, of the Surviving Corporation.</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which is filed as Exhibit 2.1 to this Current Report on Form 8-K and is incorporated herein by reference. The foregoing summary has been included to provide investors and security holders with information regarding the terms of the Merger Agreement and is qualified in its entirety by the terms and conditions of the Merger Agreement. It is not intended to provide any other factual information about NCS, Weatherford or their respective subsidiaries and affiliates. The Merger Agreement contains representations and warranties by each of the parties to the Merger Agreement, which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NCS, Weatherford or any of their respective subsidiaries or affiliates. Moreover, information concerning the subject matter of the representations, warranties and covenants may change after the date of the Merger Agreement, which subsequent information may or may not be fully reflected in NCS’s or Weatherford’s public disclosures.</w:t>
      </w:r>
    </w:p>
    <w:p>
      <w:pPr>
        <w:sectPr>
          <w:pgSz w:w="11900" w:h="16838" w:orient="portrait"/>
          <w:cols w:equalWidth="0" w:num="1">
            <w:col w:w="11004"/>
          </w:cols>
          <w:pgMar w:left="436" w:top="297"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31, 2026, the NCS Stockholder Consent became effective immediately following the execution of the Merger Agreement. As a result of the NCS Stockholder Consent, no further approval by the stockholders of NCS is required to consummate the transactions contemplated by the Merger Agreement. NCS will file with the SEC and mail to its stockholders an information statement describing the transactions contemplated by the Merger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On June 1, 2026, NCS and Weatherford issued a joint press release captioned “Weatherford Announces Definitive Agreement to Acquire NCS Multistage, Expanding Completions Portfolio and Unconventional Resource Exposure”. A copy of the press release is attached hereto as Exhibit 99.1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7"/>
          <w:szCs w:val="17"/>
          <w:color w:val="auto"/>
        </w:rPr>
        <w:t>This communication does not constitute an offer to buy or sell or the solicitation of an offer to buy or sell any securities or a solicitation of any vote or approval. In connection with the proposed Merger, Weatherford intends to file a registration statement on Form S-4 (the “</w:t>
      </w:r>
      <w:r>
        <w:rPr>
          <w:rFonts w:ascii="Times New Roman" w:cs="Times New Roman" w:eastAsia="Times New Roman" w:hAnsi="Times New Roman"/>
          <w:sz w:val="17"/>
          <w:szCs w:val="17"/>
          <w:u w:val="single" w:color="auto"/>
          <w:color w:val="auto"/>
        </w:rPr>
        <w:t>Form S-4</w:t>
      </w:r>
      <w:r>
        <w:rPr>
          <w:rFonts w:ascii="Times New Roman" w:cs="Times New Roman" w:eastAsia="Times New Roman" w:hAnsi="Times New Roman"/>
          <w:sz w:val="17"/>
          <w:szCs w:val="17"/>
          <w:color w:val="auto"/>
        </w:rPr>
        <w:t>”) that also constitutes a prospectus of Weatherford with respect to the shares of Weatherford to be issued in the proposed transaction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xml:space="preserve">”) and NCS Multistage intends to file an information statement on Schedule 14C, with the SEC. Each of Weatherford and NCS Multistage may also file other relevant documents with the SEC regarding the proposed transaction. This document is not a substitute for the Form S-4 or prospectus or any other document that Weatherford or NCS Multistage may file with the SEC. </w:t>
      </w:r>
      <w:r>
        <w:rPr>
          <w:rFonts w:ascii="Times New Roman" w:cs="Times New Roman" w:eastAsia="Times New Roman" w:hAnsi="Times New Roman"/>
          <w:sz w:val="17"/>
          <w:szCs w:val="17"/>
          <w:b w:val="1"/>
          <w:bCs w:val="1"/>
          <w:color w:val="auto"/>
        </w:rPr>
        <w:t>INVESTORS AND SECURITY HOLDERS ARE URGED TO READ THE</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w:t>
      </w:r>
      <w:r>
        <w:rPr>
          <w:rFonts w:ascii="Times New Roman" w:cs="Times New Roman" w:eastAsia="Times New Roman" w:hAnsi="Times New Roman"/>
          <w:sz w:val="18"/>
          <w:szCs w:val="18"/>
          <w:color w:val="auto"/>
        </w:rPr>
        <w:t>Investors and security holders will be able to obtain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the Form S-4 and the information statement/prospectus (if and when available) and other documents containing important information about Weatherford, NCS and the proposed Merger, once such documents are filed with the SEC through the website maintained by the SEC at http://www.sec.gov. Copies of the documents filed with the SEC by NCS will be available free of charge on NCS’s internet website at https://ir.ncsmultistage.com. Copies of the documents filed with the SEC by Weatherford will be available free of charge on Weatherford’s internet website at https://weatherford.com/investor-relations/home. The information included on, or accessible through, Weatherford’s or NCS’s website is not incorporated by reference into this communication.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anticipated benefits of the proposed transaction, and plans and expectations for the new combined company after the completion of the proposed transaction. Such statements are based upon the current beliefs of Weatherford’s and NCS’s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w:t>
      </w:r>
    </w:p>
    <w:p>
      <w:pPr>
        <w:sectPr>
          <w:pgSz w:w="11900" w:h="16838" w:orient="portrait"/>
          <w:cols w:equalWidth="0" w:num="1">
            <w:col w:w="10980"/>
          </w:cols>
          <w:pgMar w:left="440" w:top="293" w:right="479" w:bottom="1440" w:gutter="0" w:footer="0" w:header="0"/>
        </w:sectPr>
      </w:pPr>
    </w:p>
    <w:bookmarkStart w:id="4" w:name="page5"/>
    <w:bookmarkEnd w:id="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NCS’s Annual Report on Form 10-K for the year ended December 31, 2025, and, in each case, in subsequent filings with the SEC. Other unpredictable factors not discussed in this communication could also have material adverse effects on forward-looking statements. You should not place undue reliance on any of Weatherford’s or NCS’s forward-looking statements. Any forward-looking statement speaks only as of the date on which such statement is made, and Weatherford and NCS undertake no obligation to correct or update any forward-looking statement, whether as a result of new information, future events or otherwise, except as required by applicable law, and we caution you not to rely on them unduly.</w:t>
      </w: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92"/>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9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as of May 31, 2026, by and among NCS Multistage Holdings, Inc., Weatherford International plc</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Trinity Bell Sub, Inc.†</w:t>
            </w:r>
          </w:p>
        </w:tc>
        <w:tc>
          <w:tcPr>
            <w:tcW w:w="7820" w:type="dxa"/>
            <w:vAlign w:val="bottom"/>
            <w:gridSpan w:val="4"/>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Joint Press Release, dated June 1, 2026.</w:t>
            </w:r>
          </w:p>
        </w:tc>
        <w:tc>
          <w:tcPr>
            <w:tcW w:w="6880" w:type="dxa"/>
            <w:vAlign w:val="bottom"/>
            <w:gridSpan w:val="3"/>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740" w:hanging="224"/>
        <w:spacing w:after="0" w:line="282" w:lineRule="auto"/>
        <w:tabs>
          <w:tab w:leader="none" w:pos="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and Item 601(b)(2) of Regulation S-K. The registrant hereby undertakes to furnish supplementally copies of any of the omitted schedules upon request by the SEC.</w:t>
      </w:r>
    </w:p>
    <w:p>
      <w:pPr>
        <w:sectPr>
          <w:pgSz w:w="11900" w:h="16838" w:orient="portrait"/>
          <w:cols w:equalWidth="0" w:num="1">
            <w:col w:w="10964"/>
          </w:cols>
          <w:pgMar w:left="436" w:top="297" w:right="49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Mike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Mike Morrison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ectPr>
          <w:pgSz w:w="11900" w:h="16838" w:orient="portrait"/>
          <w:cols w:equalWidth="0" w:num="1">
            <w:col w:w="10700"/>
          </w:cols>
          <w:pgMar w:left="440" w:top="293" w:right="7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189865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WEATHERFORD INTERNATIONAL PLC,</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TRINITY BELL SUB, INC.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91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Bylaws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EFFECT ON THE CAPITAL STOCK OF THE CONSTITUENT CORPORATIONS; EXCHANGE OF CERTIFICATES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4"/>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Capital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Equity-Based Awards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Appraisal Rights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       Section 2.5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Procedures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Intended Tax Treatment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 Consents and Approvals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Information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Plans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3.19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Takeover Statutes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Rights Plan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3.23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Privacy and Security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Section 3.24</w:t>
            </w:r>
          </w:p>
        </w:tc>
        <w:tc>
          <w:tcPr>
            <w:tcW w:w="9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Relations With Governments, etc.; International Trade Matters; Anti-Corruption Matters; Anti-Money Laundering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3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Reorganization Qualification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Top Customers and Suppliers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3.29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 Prospectus Regulation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3.30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2"/>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Stock</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 Consents and Approvals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 Exchange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Information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of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Takeover Statutes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Reorganization Qualification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4.14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32"/>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Preparation of Form S-4, Information 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Written Consent &amp; Support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 Sole Stockholder Consent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Approval; Efforts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Laws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Exculpation and Insurance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Litigation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Exchange; Deregistration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Announcements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5.16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1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Section 5.17</w:t>
            </w:r>
          </w:p>
        </w:tc>
        <w:tc>
          <w:tcPr>
            <w:tcW w:w="9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Equity Consideration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5.18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5.19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by Parent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5.20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Remittance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32"/>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CONDITIONS PRECEDENT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6.1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6.2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Obligations of Parent and Merger Sub</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6.3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6.4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32"/>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TERMINATION, AMENDMENT AND WAIVER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7.1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7.2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Termination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7.3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Fees and 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7.4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or Supplement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7.5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 of Time; Waiver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432"/>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GENERAL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8.8</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Successors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8.10</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8.12</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Letters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8.14</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.pdf Signature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Section 8.16</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Presumption Against Drafting Party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4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9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Written Consent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Support Agreement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9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Certificate of Incorporation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9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Assignment and Novation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3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39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Definition</w:t>
            </w:r>
          </w:p>
        </w:tc>
        <w:tc>
          <w:tcPr>
            <w:tcW w:w="648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Location</w:t>
            </w:r>
          </w:p>
        </w:tc>
      </w:t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401(k)</w:t>
            </w:r>
          </w:p>
        </w:tc>
        <w:tc>
          <w:tcPr>
            <w:tcW w:w="2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Plans</w:t>
            </w:r>
          </w:p>
        </w:tc>
        <w:tc>
          <w:tcPr>
            <w:tcW w:w="648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3"/>
              </w:rPr>
              <w:t>5.16(e)</w:t>
            </w:r>
          </w:p>
        </w:tc>
        <w:tc>
          <w:tcPr>
            <w:tcW w:w="320" w:type="dxa"/>
            <w:vAlign w:val="bottom"/>
          </w:tcPr>
          <w:p>
            <w:pPr>
              <w:spacing w:after="0"/>
              <w:rPr>
                <w:sz w:val="16"/>
                <w:szCs w:val="16"/>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5.2(e)(iii)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5.2(e)(i)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698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5.3(a)</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8.3(a)</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3.24(a)</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Anti-Money Laundering Laws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3.24(e)</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Division</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Options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PSUs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2.2(c)</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RSUs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Amount</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5.11(b)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 Ownership</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8.3(c)</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8.3(d)</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Exchange Ratio</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98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698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98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Tax Opinion</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6.3(e)</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COBRA</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3.12(d)(vii)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8.3(e)</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Charter</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3.1(b)</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DSU</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8.3(f)</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Equity Awards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8.3(g)</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8.3(h)</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ESU</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8.3(i)</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Indebtedness</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8.3(j)</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98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Measurement Time</w:t>
            </w:r>
          </w:p>
        </w:tc>
        <w:tc>
          <w:tcPr>
            <w:tcW w:w="64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Option</w:t>
            </w:r>
          </w:p>
        </w:tc>
        <w:tc>
          <w:tcPr>
            <w:tcW w:w="64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8.3(k)</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440" w:top="266" w:right="6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7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238"/>
        </w:trPr>
        <w:tc>
          <w:tcPr>
            <w:tcW w:w="3160" w:type="dxa"/>
            <w:vAlign w:val="bottom"/>
          </w:tcPr>
          <w:p>
            <w:pPr>
              <w:spacing w:after="0"/>
              <w:rPr>
                <w:sz w:val="20"/>
                <w:szCs w:val="20"/>
                <w:color w:val="auto"/>
              </w:rPr>
            </w:pPr>
          </w:p>
        </w:tc>
        <w:tc>
          <w:tcPr>
            <w:tcW w:w="776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44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3.12(a)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PSU</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8.3(l)</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7.3(c)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RSU</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8.3(m)</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8.3(n)</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7.3(a)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Top Customer</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3.28(a)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Company Top Supplier</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3.28(a)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5.5(b)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Consent Time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Consenting Stockholders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8.3(q)</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5.16(a)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8.3(o)</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8.3(p)</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Default Stock</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w w:val="97"/>
              </w:rPr>
              <w:t>2.1(a)(iii)</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 of State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Elected Cash Consideration</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2.5(b)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Election Form</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Election Period</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2.5(b)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3.14(e)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3.12(a)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Excess Cash Amount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2.5(e)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2.1(c)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Export Approvals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w w:val="97"/>
              </w:rPr>
              <w:t>3.24(b)(i)</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FCPA</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3.24(a)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FDI Laws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FTC</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5.8(b)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3.6(b)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Hazardous Substance</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3.14(e)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5.8(a)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8.3(u)</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5.11(a)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Statement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776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20"/>
          </w:cols>
          <w:pgMar w:left="440" w:top="266" w:right="5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238"/>
        </w:trPr>
        <w:tc>
          <w:tcPr>
            <w:tcW w:w="3820" w:type="dxa"/>
            <w:vAlign w:val="bottom"/>
          </w:tcPr>
          <w:p>
            <w:pPr>
              <w:spacing w:after="0"/>
              <w:rPr>
                <w:sz w:val="20"/>
                <w:szCs w:val="20"/>
                <w:color w:val="auto"/>
              </w:rPr>
            </w:pPr>
          </w:p>
        </w:tc>
        <w:tc>
          <w:tcPr>
            <w:tcW w:w="70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44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Trade Laws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3.24(b)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Irish Companies Act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8.3(v)</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3.12(b)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8.3(w)</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3.5(a)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3.18(b)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8.3(x)</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8.3(y)</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Mailing Date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3.16(a)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Maximum Cash Election Amount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Mixed Consideration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Mixed Election Stock</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Mixed Share Consideration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Mixed Share Consideration Exchange Ratio</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Mixed Share Consideration Value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2.3(f)</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nonassessable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8.3(z)</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Non-U.S. Benefit Plan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w w:val="97"/>
              </w:rPr>
              <w:t>3.12(d)(viii)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Novation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OFAC</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3.24(b)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7.1(b)(i)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8.3(aa)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Closing Price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Measurement Time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Ordinary Shares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8.3(bb)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Redomestication Shareholder Approval</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8.3(cc)</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7.3(c)</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4.5(a)</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7.3(b)</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Permits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8.3(dd)</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8.3(ee)</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Personal Information</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8.3(ff)</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Privacy Laws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8.3(gg)</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Public Official</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8.3(hh)</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Registrable Securities</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8.3(jj)</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8.3</w:t>
            </w:r>
          </w:p>
        </w:tc>
        <w:tc>
          <w:tcPr>
            <w:tcW w:w="70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(kk)</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00"/>
          </w:cols>
          <w:pgMar w:left="440" w:top="266" w:right="5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2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238"/>
        </w:trPr>
        <w:tc>
          <w:tcPr>
            <w:tcW w:w="3680" w:type="dxa"/>
            <w:vAlign w:val="bottom"/>
          </w:tcPr>
          <w:p>
            <w:pPr>
              <w:spacing w:after="0"/>
              <w:rPr>
                <w:sz w:val="20"/>
                <w:szCs w:val="20"/>
                <w:color w:val="auto"/>
              </w:rPr>
            </w:pPr>
          </w:p>
        </w:tc>
        <w:tc>
          <w:tcPr>
            <w:tcW w:w="72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44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Release</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3.14(e)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Repeat Precision Note</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8.3(ii)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Rewind</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8.3(ll)</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w w:val="99"/>
              </w:rPr>
              <w:t>Article III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 Consideration Exchange Ratio</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 Election Stock</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Specified Stockholder Claims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5.17(l)</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Specified Stockholder Indemnified Parties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5.17(l)</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Specified Stockholder Indemnified Party</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5.17(l)</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Specified Stockholders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8.3(mm)</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8.3(nn)</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5.2(e)(ii)</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Takeover Law</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 Counsel</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2.5(c)</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8.3(oo)</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8.3(pp)</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Tolling Period</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8.3(qq)</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Union</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8.3(rr)</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 Parent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8.3(ss)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WARN Act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3.13(d)</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w:t>
            </w:r>
          </w:p>
        </w:tc>
        <w:tc>
          <w:tcPr>
            <w:tcW w:w="728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31, 2026, by and among Weatherford International plc, an Irish public limited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Trinity Bell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NCS Multistage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Parent, Merger Sub and the Company is referred to herein individually as a “Party” and collectively as the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intend to effect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Merger Sub with and into the Company, with the Company surviving the Merger, on the terms and subject to the conditions set forth herein;</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has unanimously approved this Agreement and declared it advisable for Parent to enter into this Agreement;</w:t>
      </w:r>
    </w:p>
    <w:p>
      <w:pPr>
        <w:spacing w:after="0" w:line="16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(iv) resolved to recommend that the sole stockholder of Merger Sub approve and adopt this Agreement and the transactions contemplated hereby, including the Merger;</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Parent will cause the sole stockholder of Merger Sub, to approve and adopt this Agreement and the transactions contemplated hereby, including the Merger, immediately following the execution hereof;</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and (ii) a support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5" w:name="page16"/>
    <w:bookmarkEnd w:id="15"/>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Parties agree that (i) the Merger is intended, for U.S. federal and applicable state and local income tax purposes (the “</w:t>
      </w:r>
      <w:r>
        <w:rPr>
          <w:rFonts w:ascii="Times New Roman" w:cs="Times New Roman" w:eastAsia="Times New Roman" w:hAnsi="Times New Roman"/>
          <w:sz w:val="18"/>
          <w:szCs w:val="18"/>
          <w:u w:val="single" w:color="auto"/>
          <w:color w:val="auto"/>
        </w:rPr>
        <w:t>Intended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to (A) be treated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also to prescribe certain conditions to the Merger as specified 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intending to be legally bound hereby,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as a wholly owned subsidiary of Parent.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Central time, on the second Business Day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 w:cs="Times New Roman" w:eastAsia="Times New Roman" w:hAnsi="Times New Roman"/>
          <w:sz w:val="18"/>
          <w:szCs w:val="18"/>
          <w:u w:val="single" w:color="auto"/>
          <w:color w:val="auto"/>
        </w:rPr>
        <w:t>Tolling Period</w:t>
      </w:r>
      <w:r>
        <w:rPr>
          <w:rFonts w:ascii="Times New Roman" w:cs="Times New Roman" w:eastAsia="Times New Roman" w:hAnsi="Times New Roman"/>
          <w:sz w:val="18"/>
          <w:szCs w:val="18"/>
          <w:color w:val="auto"/>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to be satisfied at the Closing), the Outside Date shall be automatically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 w:name="page17"/>
    <w:bookmarkEnd w:id="16"/>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to be satisfied at the Closing) as of the commencement of the Tolling Period.</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Upon the terms and subject to the conditions of this Agreement, as soon as practicable on the Closing Date, the Parties shall file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Effects of the Merger</w:t>
      </w:r>
      <w:r>
        <w:rPr>
          <w:rFonts w:ascii="Times New Roman" w:cs="Times New Roman" w:eastAsia="Times New Roman" w:hAnsi="Times New Roman"/>
          <w:sz w:val="17"/>
          <w:szCs w:val="17"/>
          <w:color w:val="auto"/>
        </w:rPr>
        <w:t>.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Certificate of Incorporation;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6"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Company Charter shall be amended and restated so that it reads in its entirety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as so amended, shall be the certificate of incorporation of the Surviving Corporation until thereafter amended in accordance with its terms and as provided by applicable Law.</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w:t>
      </w:r>
    </w:p>
    <w:p>
      <w:pPr>
        <w:spacing w:after="0" w:line="183"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From and after the Effective Time, the directors of Merger Sub immediately prior to the Effective Time shall be the directors of the Surviving Corporation until the earlier of their resignation or removal or until their respective successors are duly elected and qualified.</w:t>
      </w:r>
    </w:p>
    <w:p>
      <w:pPr>
        <w:spacing w:after="0" w:line="14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From and after the Effective Time, the officers of Merger Sub immediately prior to the Effective Time shall be the officers of the Surviving Corporation until the earlier of their resignation or removal or until their respective successors are duly elected and qualified.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EFFECT ON THE CAPITAL STOCK OF THE CONSTITUENT CORPORATIONS;</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EXCHANGE OF CERTIFICATES</w:t>
      </w:r>
    </w:p>
    <w:p>
      <w:pPr>
        <w:spacing w:after="0" w:line="20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At the Effective Time, by virtue of the Merger and operation of Delaware law and without any action on the part of the Company, Parent, Merger Sub or the holders of any shares of capital stock of the Company, Parent or Merger Sub:</w:t>
      </w:r>
    </w:p>
    <w:p>
      <w:pPr>
        <w:spacing w:after="0" w:line="54" w:lineRule="exact"/>
        <w:rPr>
          <w:sz w:val="20"/>
          <w:szCs w:val="20"/>
          <w:color w:val="auto"/>
        </w:rPr>
      </w:pPr>
    </w:p>
    <w:p>
      <w:pPr>
        <w:ind w:left="4" w:right="380" w:firstLine="987"/>
        <w:spacing w:after="0" w:line="261"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each share (such shares,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Effective Time (excluding any Excluded Shares) (such shares,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thereupon automatically be cancelled and converted into and shall thereafter represent the right to receive the following consideration from Parent (such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5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Share of Company Common Stock with respect to which an election to receive only share consideration has been made and not validly revoked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 Election Stock</w:t>
      </w:r>
      <w:r>
        <w:rPr>
          <w:rFonts w:ascii="Times New Roman" w:cs="Times New Roman" w:eastAsia="Times New Roman" w:hAnsi="Times New Roman"/>
          <w:sz w:val="18"/>
          <w:szCs w:val="18"/>
          <w:color w:val="auto"/>
        </w:rPr>
        <w:t>”), that number of Parent Ordinary Shares equal to the Share Consideration Exchange Ratio (the “</w:t>
      </w:r>
      <w:r>
        <w:rPr>
          <w:rFonts w:ascii="Times New Roman" w:cs="Times New Roman" w:eastAsia="Times New Roman" w:hAnsi="Times New Roman"/>
          <w:sz w:val="18"/>
          <w:szCs w:val="18"/>
          <w:u w:val="single" w:color="auto"/>
          <w:color w:val="auto"/>
        </w:rPr>
        <w:t>Share Consideration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u w:val="single" w:color="auto"/>
          <w:color w:val="auto"/>
        </w:rPr>
        <w:t>Share Consideration Exchange Ratio</w:t>
      </w:r>
      <w:r>
        <w:rPr>
          <w:rFonts w:ascii="Times New Roman" w:cs="Times New Roman" w:eastAsia="Times New Roman" w:hAnsi="Times New Roman"/>
          <w:sz w:val="18"/>
          <w:szCs w:val="18"/>
          <w:color w:val="auto"/>
        </w:rPr>
        <w:t>” means 0.5537;</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70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Share of Company Common Stock with respect to which an election to receive mixed consideration has been made and not validly revoked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Mixed Election Stock</w:t>
      </w:r>
      <w:r>
        <w:rPr>
          <w:rFonts w:ascii="Times New Roman" w:cs="Times New Roman" w:eastAsia="Times New Roman" w:hAnsi="Times New Roman"/>
          <w:sz w:val="18"/>
          <w:szCs w:val="18"/>
          <w:color w:val="auto"/>
        </w:rPr>
        <w:t xml:space="preserve">”), (A) subject to the Maximum Cash Election Amount and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the Cash Consideration and (B) that number of Parent Ordinary Shares equal to the Mixed Share Consideration Exchange Ratio (the “</w:t>
      </w:r>
      <w:r>
        <w:rPr>
          <w:rFonts w:ascii="Times New Roman" w:cs="Times New Roman" w:eastAsia="Times New Roman" w:hAnsi="Times New Roman"/>
          <w:sz w:val="18"/>
          <w:szCs w:val="18"/>
          <w:u w:val="single" w:color="auto"/>
          <w:color w:val="auto"/>
        </w:rPr>
        <w:t>Mixed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together with the Cash Consideration, the “</w:t>
      </w:r>
      <w:r>
        <w:rPr>
          <w:rFonts w:ascii="Times New Roman" w:cs="Times New Roman" w:eastAsia="Times New Roman" w:hAnsi="Times New Roman"/>
          <w:sz w:val="18"/>
          <w:szCs w:val="18"/>
          <w:u w:val="single" w:color="auto"/>
          <w:color w:val="auto"/>
        </w:rPr>
        <w:t>Mixed Consideration</w:t>
      </w:r>
      <w:r>
        <w:rPr>
          <w:rFonts w:ascii="Times New Roman" w:cs="Times New Roman" w:eastAsia="Times New Roman" w:hAnsi="Times New Roman"/>
          <w:sz w:val="18"/>
          <w:szCs w:val="18"/>
          <w:color w:val="auto"/>
        </w:rPr>
        <w:t>”). As used in this Agreement:</w:t>
      </w:r>
    </w:p>
    <w:p>
      <w:pPr>
        <w:spacing w:after="0" w:line="71" w:lineRule="exact"/>
        <w:rPr>
          <w:rFonts w:ascii="Times New Roman" w:cs="Times New Roman" w:eastAsia="Times New Roman" w:hAnsi="Times New Roman"/>
          <w:sz w:val="18"/>
          <w:szCs w:val="18"/>
          <w:color w:val="auto"/>
        </w:rPr>
      </w:pPr>
    </w:p>
    <w:p>
      <w:pPr>
        <w:ind w:left="4" w:right="140" w:firstLine="1979"/>
        <w:spacing w:after="0" w:line="258" w:lineRule="auto"/>
        <w:tabs>
          <w:tab w:leader="none" w:pos="2282"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Cash Election Amount</w:t>
      </w:r>
      <w:r>
        <w:rPr>
          <w:rFonts w:ascii="Times New Roman" w:cs="Times New Roman" w:eastAsia="Times New Roman" w:hAnsi="Times New Roman"/>
          <w:sz w:val="18"/>
          <w:szCs w:val="18"/>
          <w:color w:val="auto"/>
        </w:rPr>
        <w:t xml:space="preserve">” means an amount equal to the lesser of (I) the product of (x) the aggregate number of shares of Mixed Election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quotient of (1) 0.199,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quotient of (A) the aggregate number of shares of Mixed Election Stock,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Eligible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(z) the sum of (1) the Cash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the Mixed Share Consideration Value, and (II) the maximum amount of cash that may be delivered in the Merger without violating Section 368(a)(2)(E)(ii) of the Code (as reasonably determined by Tax Counsel in consultation with Parent).</w:t>
      </w:r>
    </w:p>
    <w:p>
      <w:pPr>
        <w:spacing w:after="0" w:line="183" w:lineRule="exact"/>
        <w:rPr>
          <w:rFonts w:ascii="Times New Roman" w:cs="Times New Roman" w:eastAsia="Times New Roman" w:hAnsi="Times New Roman"/>
          <w:sz w:val="18"/>
          <w:szCs w:val="18"/>
          <w:color w:val="auto"/>
        </w:rPr>
      </w:pPr>
    </w:p>
    <w:p>
      <w:pPr>
        <w:ind w:left="2264" w:hanging="281"/>
        <w:spacing w:after="0"/>
        <w:tabs>
          <w:tab w:leader="none" w:pos="2264"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means cash in an amount equal to the product of (x) the Cash Exchange Ratio, multiplied by</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Closing Price.</w:t>
      </w:r>
    </w:p>
    <w:p>
      <w:pPr>
        <w:spacing w:after="0" w:line="206" w:lineRule="exact"/>
        <w:rPr>
          <w:rFonts w:ascii="Times New Roman" w:cs="Times New Roman" w:eastAsia="Times New Roman" w:hAnsi="Times New Roman"/>
          <w:sz w:val="18"/>
          <w:szCs w:val="18"/>
          <w:color w:val="auto"/>
        </w:rPr>
      </w:pPr>
    </w:p>
    <w:p>
      <w:pPr>
        <w:ind w:left="2264" w:hanging="281"/>
        <w:spacing w:after="0"/>
        <w:tabs>
          <w:tab w:leader="none" w:pos="226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Exchange Ratio”</w:t>
      </w:r>
      <w:r>
        <w:rPr>
          <w:rFonts w:ascii="Times New Roman" w:cs="Times New Roman" w:eastAsia="Times New Roman" w:hAnsi="Times New Roman"/>
          <w:sz w:val="18"/>
          <w:szCs w:val="18"/>
          <w:color w:val="auto"/>
        </w:rPr>
        <w:t xml:space="preserve"> means 0.1371.</w:t>
      </w:r>
    </w:p>
    <w:p>
      <w:pPr>
        <w:spacing w:after="0" w:line="223" w:lineRule="exact"/>
        <w:rPr>
          <w:rFonts w:ascii="Times New Roman" w:cs="Times New Roman" w:eastAsia="Times New Roman" w:hAnsi="Times New Roman"/>
          <w:sz w:val="18"/>
          <w:szCs w:val="18"/>
          <w:color w:val="auto"/>
        </w:rPr>
      </w:pPr>
    </w:p>
    <w:p>
      <w:pPr>
        <w:ind w:left="2284" w:hanging="301"/>
        <w:spacing w:after="0"/>
        <w:tabs>
          <w:tab w:leader="none" w:pos="2284"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Mixed Share Consideration Value</w:t>
      </w:r>
      <w:r>
        <w:rPr>
          <w:rFonts w:ascii="Times New Roman" w:cs="Times New Roman" w:eastAsia="Times New Roman" w:hAnsi="Times New Roman"/>
          <w:sz w:val="17"/>
          <w:szCs w:val="17"/>
          <w:color w:val="auto"/>
        </w:rPr>
        <w:t xml:space="preserve">” means the product of (x) the Mixed Share Consideration Exchange Ratio, </w:t>
      </w:r>
      <w:r>
        <w:rPr>
          <w:rFonts w:ascii="Times New Roman" w:cs="Times New Roman" w:eastAsia="Times New Roman" w:hAnsi="Times New Roman"/>
          <w:sz w:val="17"/>
          <w:szCs w:val="17"/>
          <w:i w:val="1"/>
          <w:iCs w:val="1"/>
          <w:color w:val="auto"/>
        </w:rPr>
        <w:t>multiplied</w:t>
      </w:r>
    </w:p>
    <w:p>
      <w:pPr>
        <w:spacing w:after="0" w:line="40"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(y) the Parent Closing Price.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18" w:name="page19"/>
    <w:bookmarkEnd w:id="18"/>
    <w:p>
      <w:pPr>
        <w:ind w:right="140" w:firstLine="1979"/>
        <w:spacing w:after="0" w:line="282" w:lineRule="auto"/>
        <w:tabs>
          <w:tab w:leader="none" w:pos="225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 Closing Price</w:t>
      </w:r>
      <w:r>
        <w:rPr>
          <w:rFonts w:ascii="Times New Roman" w:cs="Times New Roman" w:eastAsia="Times New Roman" w:hAnsi="Times New Roman"/>
          <w:sz w:val="18"/>
          <w:szCs w:val="18"/>
          <w:color w:val="auto"/>
        </w:rPr>
        <w:t>” means the closing price per share of Parent Ordinary Shares on the Nasdaq Global Select on the last complete trading day prior to the Closing Date.</w:t>
      </w:r>
    </w:p>
    <w:p>
      <w:pPr>
        <w:spacing w:after="0" w:line="159"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Elected Cash Consideration</w:t>
      </w:r>
      <w:r>
        <w:rPr>
          <w:rFonts w:ascii="Times New Roman" w:cs="Times New Roman" w:eastAsia="Times New Roman" w:hAnsi="Times New Roman"/>
          <w:sz w:val="18"/>
          <w:szCs w:val="18"/>
          <w:color w:val="auto"/>
        </w:rPr>
        <w:t xml:space="preserve">” means the aggregate number of shares of Mixed Election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Cash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06"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Mixed Share Consideration Exchange Ratio</w:t>
      </w:r>
      <w:r>
        <w:rPr>
          <w:rFonts w:ascii="Times New Roman" w:cs="Times New Roman" w:eastAsia="Times New Roman" w:hAnsi="Times New Roman"/>
          <w:sz w:val="18"/>
          <w:szCs w:val="18"/>
          <w:color w:val="auto"/>
        </w:rPr>
        <w:t>” means 0.2392.</w:t>
      </w:r>
    </w:p>
    <w:p>
      <w:pPr>
        <w:spacing w:after="0" w:line="225" w:lineRule="exact"/>
        <w:rPr>
          <w:rFonts w:ascii="Times New Roman" w:cs="Times New Roman" w:eastAsia="Times New Roman" w:hAnsi="Times New Roman"/>
          <w:sz w:val="18"/>
          <w:szCs w:val="18"/>
          <w:color w:val="auto"/>
        </w:rPr>
      </w:pPr>
    </w:p>
    <w:p>
      <w:pPr>
        <w:ind w:right="700" w:firstLine="1428"/>
        <w:spacing w:after="0" w:line="282" w:lineRule="auto"/>
        <w:tabs>
          <w:tab w:leader="none" w:pos="17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Company Common Stock with respect to which no election to receive Share Consideration or Mixed Consideration has been made (the “</w:t>
      </w:r>
      <w:r>
        <w:rPr>
          <w:rFonts w:ascii="Times New Roman" w:cs="Times New Roman" w:eastAsia="Times New Roman" w:hAnsi="Times New Roman"/>
          <w:sz w:val="18"/>
          <w:szCs w:val="18"/>
          <w:u w:val="single" w:color="auto"/>
          <w:color w:val="auto"/>
        </w:rPr>
        <w:t>Default Stock</w:t>
      </w:r>
      <w:r>
        <w:rPr>
          <w:rFonts w:ascii="Times New Roman" w:cs="Times New Roman" w:eastAsia="Times New Roman" w:hAnsi="Times New Roman"/>
          <w:sz w:val="18"/>
          <w:szCs w:val="18"/>
          <w:color w:val="auto"/>
        </w:rPr>
        <w:t>”), the Share Consideration.</w:t>
      </w:r>
    </w:p>
    <w:p>
      <w:pPr>
        <w:spacing w:after="0" w:line="161"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in each case to be issued or paid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without interest.</w:t>
      </w:r>
    </w:p>
    <w:p>
      <w:pPr>
        <w:spacing w:after="0" w:line="179" w:lineRule="exact"/>
        <w:rPr>
          <w:rFonts w:ascii="Times New Roman" w:cs="Times New Roman" w:eastAsia="Times New Roman" w:hAnsi="Times New Roman"/>
          <w:sz w:val="18"/>
          <w:szCs w:val="18"/>
          <w:color w:val="auto"/>
        </w:rPr>
      </w:pPr>
    </w:p>
    <w:p>
      <w:pPr>
        <w:jc w:val="both"/>
        <w:ind w:right="34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held in the treasury of the Company or owned, directly or indirectly, by Parent or Merger Sub immediately prior to the Effective Time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cancelled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nothing in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shall be construed to permit or authorize Parent or the Company to take any action with respect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Treatment of Equity-Based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4"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 w:cs="Times New Roman" w:eastAsia="Times New Roman" w:hAnsi="Times New Roman"/>
          <w:sz w:val="18"/>
          <w:szCs w:val="18"/>
          <w:u w:val="single" w:color="auto"/>
          <w:color w:val="auto"/>
        </w:rPr>
        <w:t>Assumed RSUs</w:t>
      </w:r>
      <w:r>
        <w:rPr>
          <w:rFonts w:ascii="Times New Roman" w:cs="Times New Roman" w:eastAsia="Times New Roman" w:hAnsi="Times New Roman"/>
          <w:sz w:val="18"/>
          <w:szCs w:val="18"/>
          <w:color w:val="auto"/>
        </w:rPr>
        <w:t xml:space="preserve">”). Each Assumed RSU will continue to have, and be subject to, the same terms and conditions of such Assumed RSU immediately prior to the Effective Time, including vesting and forfeiture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 w:cs="Times New Roman" w:eastAsia="Times New Roman" w:hAnsi="Times New Roman"/>
          <w:sz w:val="18"/>
          <w:szCs w:val="18"/>
          <w:u w:val="single" w:color="auto"/>
          <w:color w:val="auto"/>
        </w:rPr>
        <w:t>Assumed Options</w:t>
      </w:r>
      <w:r>
        <w:rPr>
          <w:rFonts w:ascii="Times New Roman" w:cs="Times New Roman" w:eastAsia="Times New Roman" w:hAnsi="Times New Roman"/>
          <w:sz w:val="18"/>
          <w:szCs w:val="18"/>
          <w:color w:val="auto"/>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w:t>
      </w:r>
    </w:p>
    <w:p>
      <w:pPr>
        <w:spacing w:after="0" w:line="187"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 w:cs="Times New Roman" w:eastAsia="Times New Roman" w:hAnsi="Times New Roman"/>
          <w:sz w:val="18"/>
          <w:szCs w:val="18"/>
          <w:u w:val="single" w:color="auto"/>
          <w:color w:val="auto"/>
        </w:rPr>
        <w:t>Assumed PSUs</w:t>
      </w:r>
      <w:r>
        <w:rPr>
          <w:rFonts w:ascii="Times New Roman" w:cs="Times New Roman" w:eastAsia="Times New Roman" w:hAnsi="Times New Roman"/>
          <w:sz w:val="18"/>
          <w:szCs w:val="18"/>
          <w:color w:val="auto"/>
        </w:rPr>
        <w:t>”). Each Assumed PSU will continue to have, and be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20" w:name="page21"/>
    <w:bookmarkEnd w:id="2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same terms and conditions of such Assumed PSU immediately prior to the Effective Time, including vesting and forfeiture restrictions;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w:t>
      </w:r>
    </w:p>
    <w:p>
      <w:pPr>
        <w:spacing w:after="0" w:line="194" w:lineRule="exact"/>
        <w:rPr>
          <w:sz w:val="20"/>
          <w:szCs w:val="20"/>
          <w:color w:val="auto"/>
        </w:rPr>
      </w:pPr>
    </w:p>
    <w:p>
      <w:pPr>
        <w:ind w:firstLine="987"/>
        <w:spacing w:after="0" w:line="255"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4"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shall enter into an agreement in form reasonably acceptable to the Company with a bank or trust company designated by Parent and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to act as nominee and agent for the holders of Company Common Stock in connection with the Merger and to receive the Merger Consideration to which such holders shall become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Parent shall make available to the Exchange Agent, as required, for exchange in accordance with this Article II, the number of Parent Ordinary Shares to be delivered as Share Consideration and Mixed Share Consideration in respect of Eligible Shares cancelled pursuant to</w:t>
      </w:r>
    </w:p>
    <w:p>
      <w:pPr>
        <w:spacing w:after="0" w:line="3" w:lineRule="exact"/>
        <w:rPr>
          <w:rFonts w:ascii="Times New Roman" w:cs="Times New Roman" w:eastAsia="Times New Roman" w:hAnsi="Times New Roman"/>
          <w:sz w:val="18"/>
          <w:szCs w:val="18"/>
          <w:color w:val="auto"/>
        </w:rPr>
      </w:pP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and with respect to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All Parent Ordinary Shares and cash made available or deposited with the Exchange Agent (including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1" w:name="page22"/>
    <w:bookmarkEnd w:id="21"/>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are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Exchange Fund shall not be used for any other purpose.</w:t>
      </w:r>
    </w:p>
    <w:p>
      <w:pPr>
        <w:spacing w:after="0" w:line="176" w:lineRule="exact"/>
        <w:rPr>
          <w:sz w:val="20"/>
          <w:szCs w:val="20"/>
          <w:color w:val="auto"/>
        </w:rPr>
      </w:pPr>
    </w:p>
    <w:p>
      <w:pPr>
        <w:ind w:left="4" w:firstLine="987"/>
        <w:spacing w:after="0" w:line="251"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and in each case of the foregoing clauses (i) and (ii),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receive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(after taking into account all Eligible Shares then held by such holder) and (iii) as the case may be, a check or wire transfer in the amount equal to</w:t>
      </w:r>
    </w:p>
    <w:p>
      <w:pPr>
        <w:spacing w:after="0" w:line="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Consideration that such holder has the right to receive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plus (2) any dividends payable pursuant to</w:t>
      </w:r>
    </w:p>
    <w:p>
      <w:pPr>
        <w:spacing w:after="0" w:line="9"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cash payable in lieu of any fractional Parent Ordinary Shares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each Certificate or Book-Entry Share shall be deemed after the Effective Time to represent only the right to receive the Merger Consideration payable in respect thereof,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22" w:name="page23"/>
    <w:bookmarkEnd w:id="22"/>
    <w:p>
      <w:pPr>
        <w:ind w:firstLine="987"/>
        <w:spacing w:after="0" w:line="258"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ind w:firstLine="1428"/>
        <w:spacing w:after="0" w:line="255" w:lineRule="auto"/>
        <w:tabs>
          <w:tab w:leader="none" w:pos="1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Following the surrender of a Certificate by a record holder of Eligible Shares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w:t>
      </w:r>
    </w:p>
    <w:p>
      <w:pPr>
        <w:spacing w:after="0" w:line="188" w:lineRule="exact"/>
        <w:rPr>
          <w:rFonts w:ascii="Times New Roman" w:cs="Times New Roman" w:eastAsia="Times New Roman" w:hAnsi="Times New Roman"/>
          <w:sz w:val="18"/>
          <w:szCs w:val="18"/>
          <w:color w:val="auto"/>
        </w:rPr>
      </w:pPr>
    </w:p>
    <w:p>
      <w:pPr>
        <w:ind w:right="440" w:firstLine="1428"/>
        <w:spacing w:after="0" w:line="261" w:lineRule="auto"/>
        <w:tabs>
          <w:tab w:leader="none" w:pos="16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foregoing to the contrary, holders of Book-Entry Shares who are entitled to receive Parent Ordinary Shares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paid (A) at the time of delivery of such Parent Ordinary Shares by the Exchange Agent under</w:t>
      </w: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and a payment date subsequent to the time of such delivery payable with respect to such whole Parent Ordinary Shares.</w:t>
      </w:r>
    </w:p>
    <w:p>
      <w:pPr>
        <w:spacing w:after="0" w:line="188"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Consideration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issued and paid in accordance with the terms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certificates or scrip representing fractional Parent Ordinary Shares shall be issued upon the surrender for exchange of Certificates or Book-Entry Shares, no dividends with respect to the Parent Ordinary Shares shall be payable on or with respect to any fractional share, and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3" w:name="page24"/>
    <w:bookmarkEnd w:id="2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by (ii) the average of the volume weighted average price per share of Parent Ordinary Shares on the Nasdaq Global Select Market (“</w:t>
      </w:r>
      <w:r>
        <w:rPr>
          <w:rFonts w:ascii="Times New Roman" w:cs="Times New Roman" w:eastAsia="Times New Roman" w:hAnsi="Times New Roman"/>
          <w:sz w:val="18"/>
          <w:szCs w:val="18"/>
          <w:u w:val="single" w:color="auto"/>
          <w:color w:val="auto"/>
        </w:rPr>
        <w:t>Nasdaq Global Select</w:t>
      </w:r>
      <w:r>
        <w:rPr>
          <w:rFonts w:ascii="Times New Roman" w:cs="Times New Roman" w:eastAsia="Times New Roman" w:hAnsi="Times New Roman"/>
          <w:sz w:val="18"/>
          <w:szCs w:val="18"/>
          <w:color w:val="auto"/>
        </w:rPr>
        <w:t>”) (as reported by Bloomberg, L.P. or, if not reported by Bloomberg, L.P., by another authoritative source mutually selected by Parent and the Company) for the 10 consecutive trading days ending with the last complete trading day prior to the Closing Date.</w:t>
      </w:r>
    </w:p>
    <w:p>
      <w:pPr>
        <w:spacing w:after="0" w:line="192" w:lineRule="exact"/>
        <w:rPr>
          <w:sz w:val="20"/>
          <w:szCs w:val="20"/>
          <w:color w:val="auto"/>
        </w:rPr>
      </w:pPr>
    </w:p>
    <w:p>
      <w:pPr>
        <w:ind w:right="20" w:firstLine="987"/>
        <w:spacing w:after="0" w:line="258"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(subject to abandoned property, escheat or other similar laws), without interest.</w:t>
      </w:r>
    </w:p>
    <w:p>
      <w:pPr>
        <w:spacing w:after="0" w:line="183"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the Surviving Corporation, the Exchange Agent or any other Person shall be liable to any Person in respect of any portion of the Exchange Fund properly delivered to a public official pursuant to any applicable abandoned property, escheat or similar Law.</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any cash in lieu of fractional Parent Ordinary Shares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 Appraisal Rights</w:t>
      </w:r>
      <w:r>
        <w:rPr>
          <w:rFonts w:ascii="Times New Roman" w:cs="Times New Roman" w:eastAsia="Times New Roman" w:hAnsi="Times New Roman"/>
          <w:sz w:val="18"/>
          <w:szCs w:val="18"/>
          <w:color w:val="auto"/>
        </w:rPr>
        <w:t>. No dissenters’ or appraisal rights shall be available with respect to the Merger or the other transactions contemplated by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Election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Not less than 30 days prior to the anticipated Effective Time or on such other date as Parent and the Company mutually agree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Mailing Date</w:t>
      </w:r>
      <w:r>
        <w:rPr>
          <w:rFonts w:ascii="Times New Roman" w:cs="Times New Roman" w:eastAsia="Times New Roman" w:hAnsi="Times New Roman"/>
          <w:sz w:val="18"/>
          <w:szCs w:val="18"/>
          <w:color w:val="auto"/>
        </w:rPr>
        <w:t>”), the Company shall cause to be mailed an election form and other appropriate and customary transmittal materials, in such form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reasonably specify and as shall be reasonably acceptable to Parent (the “</w:t>
      </w:r>
      <w:r>
        <w:rPr>
          <w:rFonts w:ascii="Times New Roman" w:cs="Times New Roman" w:eastAsia="Times New Roman" w:hAnsi="Times New Roman"/>
          <w:sz w:val="18"/>
          <w:szCs w:val="18"/>
          <w:u w:val="single" w:color="auto"/>
          <w:color w:val="auto"/>
        </w:rPr>
        <w:t>Election Form</w:t>
      </w:r>
      <w:r>
        <w:rPr>
          <w:rFonts w:ascii="Times New Roman" w:cs="Times New Roman" w:eastAsia="Times New Roman" w:hAnsi="Times New Roman"/>
          <w:sz w:val="18"/>
          <w:szCs w:val="18"/>
          <w:color w:val="auto"/>
        </w:rPr>
        <w:t>”), to each record holder of Company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(other than Excluded Shares) as of a record date that is five Business Days prior to the Mailing Date or such other date as mutually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and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4" w:name="page25"/>
    <w:bookmarkEnd w:id="24"/>
    <w:p>
      <w:pPr>
        <w:ind w:left="4" w:firstLine="987"/>
        <w:spacing w:after="0" w:line="254"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from the Mailing Date to 5:00 p.m., New York City time, on the Business Day that is five Business Days prior to the Closing Date or such other date as Parent and the Company shall, prior to the Closing, mutually agree (the “</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shall be deemed to have made no election. Parent and the Company shall publicly announce the anticipated Election Deadline at least five Business Days prior to the anticipated Closing Date. If the Closing Date is delayed to a subsequent date, the Election Deadline shall be similarly delayed to a subsequent date, and Parent and the Company shall promptly announce any such delay and, when determined, the rescheduled Election Deadline.</w:t>
      </w:r>
    </w:p>
    <w:p>
      <w:pPr>
        <w:spacing w:after="0" w:line="188"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4"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election made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w:t>
      </w:r>
    </w:p>
    <w:p>
      <w:pPr>
        <w:spacing w:after="0" w:line="191"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2.5(b)</w:t>
      </w:r>
      <w:r>
        <w:rPr>
          <w:rFonts w:ascii="Times New Roman" w:cs="Times New Roman" w:eastAsia="Times New Roman" w:hAnsi="Times New Roman"/>
          <w:sz w:val="17"/>
          <w:szCs w:val="17"/>
          <w:color w:val="auto"/>
        </w:rPr>
        <w:t>, if the Elected Cash Consideration, is greater than the Maximum Cash Election Amount (the difference between the Elected Cash Consideration and the Maximum Cash Election Amount being the “</w:t>
      </w:r>
      <w:r>
        <w:rPr>
          <w:rFonts w:ascii="Times New Roman" w:cs="Times New Roman" w:eastAsia="Times New Roman" w:hAnsi="Times New Roman"/>
          <w:sz w:val="17"/>
          <w:szCs w:val="17"/>
          <w:u w:val="single" w:color="auto"/>
          <w:color w:val="auto"/>
        </w:rPr>
        <w:t>Excess Cash Amount</w:t>
      </w:r>
      <w:r>
        <w:rPr>
          <w:rFonts w:ascii="Times New Roman" w:cs="Times New Roman" w:eastAsia="Times New Roman" w:hAnsi="Times New Roman"/>
          <w:sz w:val="17"/>
          <w:szCs w:val="17"/>
          <w:color w:val="auto"/>
        </w:rPr>
        <w:t>”),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w:t>
      </w:r>
    </w:p>
    <w:p>
      <w:pPr>
        <w:spacing w:after="0" w:line="2" w:lineRule="exact"/>
        <w:rPr>
          <w:rFonts w:ascii="Times New Roman" w:cs="Times New Roman" w:eastAsia="Times New Roman" w:hAnsi="Times New Roman"/>
          <w:sz w:val="17"/>
          <w:szCs w:val="17"/>
          <w:color w:val="auto"/>
        </w:rPr>
      </w:pPr>
    </w:p>
    <w:p>
      <w:pPr>
        <w:ind w:left="4" w:right="660" w:hanging="4"/>
        <w:spacing w:after="0" w:line="255"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w:t>
      </w:r>
    </w:p>
    <w:p>
      <w:pPr>
        <w:spacing w:after="0" w:line="191"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reasonably be expected to prevent the Merger from qualifying for, cause a failure of the Merger to qualify for or otherwise impede the Merger from qualifying for the Intended Tax Treatment.</w:t>
      </w:r>
    </w:p>
    <w:p>
      <w:pPr>
        <w:spacing w:after="0" w:line="183"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 w:cs="Times New Roman" w:eastAsia="Times New Roman" w:hAnsi="Times New Roman"/>
          <w:sz w:val="18"/>
          <w:szCs w:val="18"/>
          <w:u w:val="single" w:color="auto"/>
          <w:color w:val="auto"/>
        </w:rPr>
        <w:t>Tax Counsel</w:t>
      </w:r>
      <w:r>
        <w:rPr>
          <w:rFonts w:ascii="Times New Roman" w:cs="Times New Roman" w:eastAsia="Times New Roman" w:hAnsi="Times New Roman"/>
          <w:sz w:val="18"/>
          <w:szCs w:val="18"/>
          <w:color w:val="auto"/>
        </w:rPr>
        <w:t>”),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w:t>
      </w:r>
    </w:p>
    <w:p>
      <w:pPr>
        <w:spacing w:after="0" w:line="191"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w:t>
      </w:r>
    </w:p>
    <w:p>
      <w:pPr>
        <w:spacing w:after="0" w:line="17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adopt this Agreement as a “plan of reorganization” within the meaning of Treasury Regulation Sections 1.368-2(g) and 1.368-3(a) for purposes of Sections 354, 361 and 368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(a) any Company SEC Document filed with or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(Capital Stock)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(Brokers) or (b) the disclosure letter delivered by the Company to Parent immediately prior to or simultaneously with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Company represents and warrants to Parent and Merger Sub as follows: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items set forth on Section 3.1(a) of the Company Disclosure Letter result in a Material Adverse Effect;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w:t>
      </w:r>
    </w:p>
    <w:p>
      <w:pPr>
        <w:spacing w:after="0" w:line="192" w:lineRule="exact"/>
        <w:rPr>
          <w:sz w:val="20"/>
          <w:szCs w:val="20"/>
          <w:color w:val="auto"/>
        </w:rPr>
      </w:pPr>
    </w:p>
    <w:p>
      <w:pPr>
        <w:jc w:val="both"/>
        <w:ind w:right="360" w:firstLine="987"/>
        <w:spacing w:after="0" w:line="266"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made available to Parent true and complete copies of the Company’s certificate of incorporation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The Company is not in violation of any provision of the Company Charter or Company Bylaws.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5:00 p.m. Central Time on May 29, 2026 (the “</w:t>
      </w:r>
      <w:r>
        <w:rPr>
          <w:rFonts w:ascii="Times New Roman" w:cs="Times New Roman" w:eastAsia="Times New Roman" w:hAnsi="Times New Roman"/>
          <w:sz w:val="18"/>
          <w:szCs w:val="18"/>
          <w:u w:val="single" w:color="auto"/>
          <w:color w:val="auto"/>
        </w:rPr>
        <w:t>Company Measurement Time</w:t>
      </w:r>
      <w:r>
        <w:rPr>
          <w:rFonts w:ascii="Times New Roman" w:cs="Times New Roman" w:eastAsia="Times New Roman" w:hAnsi="Times New Roman"/>
          <w:sz w:val="18"/>
          <w:szCs w:val="18"/>
          <w:color w:val="auto"/>
        </w:rPr>
        <w:t>”),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encumbrances and security interests of any kind or nature whatsoever (including any limitation on voting, sale, transfer 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disposition or exercise of any other attribute of ownership)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w:t>
      </w:r>
    </w:p>
    <w:p>
      <w:pPr>
        <w:spacing w:after="0" w:line="197" w:lineRule="exact"/>
        <w:rPr>
          <w:sz w:val="20"/>
          <w:szCs w:val="20"/>
          <w:color w:val="auto"/>
        </w:rPr>
      </w:pPr>
    </w:p>
    <w:p>
      <w:pPr>
        <w:ind w:right="180" w:firstLine="987"/>
        <w:spacing w:after="0" w:line="254"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w:t>
      </w:r>
    </w:p>
    <w:p>
      <w:pPr>
        <w:spacing w:after="0" w:line="19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9"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87" w:lineRule="exact"/>
        <w:rPr>
          <w:sz w:val="20"/>
          <w:szCs w:val="20"/>
          <w:color w:val="auto"/>
        </w:rPr>
      </w:pPr>
    </w:p>
    <w:p>
      <w:pPr>
        <w:ind w:firstLine="987"/>
        <w:spacing w:after="0" w:line="258"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w:t>
      </w:r>
    </w:p>
    <w:p>
      <w:pPr>
        <w:spacing w:after="0" w:line="183" w:lineRule="exact"/>
        <w:rPr>
          <w:rFonts w:ascii="Times New Roman" w:cs="Times New Roman" w:eastAsia="Times New Roman" w:hAnsi="Times New Roman"/>
          <w:sz w:val="18"/>
          <w:szCs w:val="18"/>
          <w:color w:val="auto"/>
        </w:rPr>
      </w:pPr>
    </w:p>
    <w:p>
      <w:pPr>
        <w:ind w:right="620" w:firstLine="987"/>
        <w:spacing w:after="0" w:line="266"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is the only approval of the holders of any class or series of the Company’s capital stock or other securities required in connection with the adoption of this Agreement and consummation of the Merger and the other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 Conflict;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 w:cs="Times New Roman" w:eastAsia="Times New Roman" w:hAnsi="Times New Roman"/>
          <w:sz w:val="18"/>
          <w:szCs w:val="18"/>
          <w:u w:val="single" w:color="auto"/>
          <w:color w:val="auto"/>
        </w:rPr>
        <w:t>Section 3.5(b)(i), (ii) and (iii)</w:t>
      </w:r>
      <w:r>
        <w:rPr>
          <w:rFonts w:ascii="Times New Roman" w:cs="Times New Roman" w:eastAsia="Times New Roman" w:hAnsi="Times New Roman"/>
          <w:sz w:val="18"/>
          <w:szCs w:val="18"/>
          <w:color w:val="auto"/>
        </w:rPr>
        <w:t>, any federal, state, local or foreign law (including common law), statute, ordinance, rule, code, regulation, order, judgment, injunction, decree or other legally enforceable requirement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0" w:name="page31"/>
    <w:bookmarkEnd w:id="30"/>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legislative, executive, regulatory or self-regulatory authority, instrumentality, agency, commission or body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4" w:lineRule="auto"/>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w:t>
      </w:r>
    </w:p>
    <w:p>
      <w:pPr>
        <w:spacing w:after="0" w:line="3" w:lineRule="exact"/>
        <w:rPr>
          <w:rFonts w:ascii="Times New Roman" w:cs="Times New Roman" w:eastAsia="Times New Roman" w:hAnsi="Times New Roman"/>
          <w:sz w:val="18"/>
          <w:szCs w:val="18"/>
          <w:color w:val="auto"/>
        </w:rPr>
      </w:pPr>
    </w:p>
    <w:p>
      <w:pPr>
        <w:ind w:left="4" w:right="40" w:hanging="4"/>
        <w:spacing w:after="0" w:line="252"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1" w:name="page32"/>
    <w:bookmarkEnd w:id="31"/>
    <w:p>
      <w:pPr>
        <w:ind w:firstLine="987"/>
        <w:spacing w:after="0" w:line="258"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w:t>
      </w:r>
    </w:p>
    <w:p>
      <w:pPr>
        <w:spacing w:after="0" w:line="183"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w:t>
      </w:r>
    </w:p>
    <w:p>
      <w:pPr>
        <w:spacing w:after="0" w:line="175"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188"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w:t>
      </w:r>
    </w:p>
    <w:p>
      <w:pPr>
        <w:spacing w:after="0" w:line="175" w:lineRule="exact"/>
        <w:rPr>
          <w:rFonts w:ascii="Times New Roman" w:cs="Times New Roman" w:eastAsia="Times New Roman" w:hAnsi="Times New Roman"/>
          <w:sz w:val="18"/>
          <w:szCs w:val="18"/>
          <w:color w:val="auto"/>
        </w:rPr>
      </w:pPr>
    </w:p>
    <w:p>
      <w:pPr>
        <w:ind w:right="40" w:firstLine="987"/>
        <w:spacing w:after="0" w:line="274" w:lineRule="auto"/>
        <w:tabs>
          <w:tab w:leader="none" w:pos="124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72"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provisions of the Sarbanes-Oxley Act that are applicable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required to file any form, report, schedule, statement or other document with the SEC.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2" w:name="page33"/>
    <w:bookmarkEnd w:id="32"/>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3.7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and (c) there has not been or occurred any Material Adverse Effect.</w:t>
      </w:r>
    </w:p>
    <w:p>
      <w:pPr>
        <w:spacing w:after="0" w:line="180"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(or basis therefor)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3" w:name="page34"/>
    <w:bookmarkEnd w:id="33"/>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26"/>
          <w:szCs w:val="26"/>
          <w:color w:val="auto"/>
          <w:vertAlign w:val="superscript"/>
        </w:rPr>
        <w:t>.</w:t>
      </w:r>
    </w:p>
    <w:p>
      <w:pPr>
        <w:spacing w:after="0" w:line="133" w:lineRule="exact"/>
        <w:rPr>
          <w:sz w:val="20"/>
          <w:szCs w:val="20"/>
          <w:color w:val="auto"/>
        </w:rPr>
      </w:pPr>
    </w:p>
    <w:p>
      <w:pPr>
        <w:ind w:left="4" w:firstLine="987"/>
        <w:spacing w:after="0" w:line="253"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material (i)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w:t>
      </w:r>
    </w:p>
    <w:p>
      <w:pPr>
        <w:spacing w:after="0" w:line="194"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4" w:name="page35"/>
    <w:bookmarkEnd w:id="34"/>
    <w:p>
      <w:pPr>
        <w:ind w:left="-40" w:right="20" w:firstLine="987"/>
        <w:spacing w:after="0" w:line="256" w:lineRule="auto"/>
        <w:tabs>
          <w:tab w:leader="none" w:pos="11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plan” within the meaning of ERISA Section 210 or Code Section 413(c), (v) any “voluntary employees beneficiary association” within the meaning of Section 501(c)(9) of the Code, or (vi) any “welfare benefit fund” within the meaning of Section 419 of the Code.</w:t>
      </w:r>
    </w:p>
    <w:p>
      <w:pPr>
        <w:spacing w:after="0" w:line="187" w:lineRule="exact"/>
        <w:rPr>
          <w:rFonts w:ascii="Times New Roman" w:cs="Times New Roman" w:eastAsia="Times New Roman" w:hAnsi="Times New Roman"/>
          <w:sz w:val="18"/>
          <w:szCs w:val="18"/>
          <w:color w:val="auto"/>
        </w:rPr>
      </w:pPr>
    </w:p>
    <w:p>
      <w:pPr>
        <w:ind w:left="-40" w:right="60" w:firstLine="987"/>
        <w:spacing w:after="0" w:line="282"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of the Company Disclosure Letter, with respect to the Company Plans, except as has not had and would not reasonably be expected to have a Material Adverse Effect, since January 1, 2024:</w:t>
      </w:r>
    </w:p>
    <w:p>
      <w:pPr>
        <w:spacing w:after="0" w:line="53" w:lineRule="exact"/>
        <w:rPr>
          <w:rFonts w:ascii="Times New Roman" w:cs="Times New Roman" w:eastAsia="Times New Roman" w:hAnsi="Times New Roman"/>
          <w:sz w:val="18"/>
          <w:szCs w:val="18"/>
          <w:color w:val="auto"/>
        </w:rPr>
      </w:pPr>
    </w:p>
    <w:p>
      <w:pPr>
        <w:ind w:left="-40" w:right="180" w:firstLine="1428"/>
        <w:spacing w:after="0" w:line="261" w:lineRule="auto"/>
        <w:tabs>
          <w:tab w:leader="none" w:pos="16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w:t>
      </w:r>
    </w:p>
    <w:p>
      <w:pPr>
        <w:spacing w:after="0" w:line="179" w:lineRule="exact"/>
        <w:rPr>
          <w:rFonts w:ascii="Times New Roman" w:cs="Times New Roman" w:eastAsia="Times New Roman" w:hAnsi="Times New Roman"/>
          <w:sz w:val="18"/>
          <w:szCs w:val="18"/>
          <w:color w:val="auto"/>
        </w:rPr>
      </w:pPr>
    </w:p>
    <w:p>
      <w:pPr>
        <w:ind w:left="-40" w:right="320" w:firstLine="1428"/>
        <w:spacing w:after="0" w:line="266" w:lineRule="auto"/>
        <w:tabs>
          <w:tab w:leader="none" w:pos="1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w:t>
      </w:r>
    </w:p>
    <w:p>
      <w:pPr>
        <w:spacing w:after="0" w:line="175" w:lineRule="exact"/>
        <w:rPr>
          <w:rFonts w:ascii="Times New Roman" w:cs="Times New Roman" w:eastAsia="Times New Roman" w:hAnsi="Times New Roman"/>
          <w:sz w:val="18"/>
          <w:szCs w:val="18"/>
          <w:color w:val="auto"/>
        </w:rPr>
      </w:pPr>
    </w:p>
    <w:p>
      <w:pPr>
        <w:ind w:left="-40" w:firstLine="1428"/>
        <w:spacing w:after="0" w:line="258" w:lineRule="auto"/>
        <w:tabs>
          <w:tab w:leader="none" w:pos="17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w:t>
      </w:r>
    </w:p>
    <w:p>
      <w:pPr>
        <w:spacing w:after="0" w:line="183" w:lineRule="exact"/>
        <w:rPr>
          <w:rFonts w:ascii="Times New Roman" w:cs="Times New Roman" w:eastAsia="Times New Roman" w:hAnsi="Times New Roman"/>
          <w:sz w:val="18"/>
          <w:szCs w:val="18"/>
          <w:color w:val="auto"/>
        </w:rPr>
      </w:pPr>
    </w:p>
    <w:p>
      <w:pPr>
        <w:ind w:left="-40" w:right="20" w:firstLine="1428"/>
        <w:spacing w:after="0" w:line="261" w:lineRule="auto"/>
        <w:tabs>
          <w:tab w:leader="none" w:pos="16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w:t>
      </w:r>
    </w:p>
    <w:p>
      <w:pPr>
        <w:spacing w:after="0" w:line="179" w:lineRule="exact"/>
        <w:rPr>
          <w:rFonts w:ascii="Times New Roman" w:cs="Times New Roman" w:eastAsia="Times New Roman" w:hAnsi="Times New Roman"/>
          <w:sz w:val="18"/>
          <w:szCs w:val="18"/>
          <w:color w:val="auto"/>
        </w:rPr>
      </w:pPr>
    </w:p>
    <w:p>
      <w:pPr>
        <w:ind w:left="-40" w:right="180" w:firstLine="1428"/>
        <w:spacing w:after="0" w:line="266" w:lineRule="auto"/>
        <w:tabs>
          <w:tab w:leader="none" w:pos="16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Section 4980B(b) of the Code;</w:t>
      </w:r>
    </w:p>
    <w:p>
      <w:pPr>
        <w:spacing w:after="0" w:line="175" w:lineRule="exact"/>
        <w:rPr>
          <w:rFonts w:ascii="Times New Roman" w:cs="Times New Roman" w:eastAsia="Times New Roman" w:hAnsi="Times New Roman"/>
          <w:sz w:val="18"/>
          <w:szCs w:val="18"/>
          <w:color w:val="auto"/>
        </w:rPr>
      </w:pPr>
    </w:p>
    <w:p>
      <w:pPr>
        <w:ind w:left="-40" w:right="180" w:firstLine="1428"/>
        <w:spacing w:after="0" w:line="266" w:lineRule="auto"/>
        <w:tabs>
          <w:tab w:leader="none" w:pos="16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80" w:top="270" w:right="479" w:bottom="1440" w:gutter="0" w:footer="0" w:header="0"/>
        </w:sectPr>
      </w:pPr>
    </w:p>
    <w:bookmarkStart w:id="35" w:name="page36"/>
    <w:bookmarkEnd w:id="35"/>
    <w:p>
      <w:pPr>
        <w:ind w:left="4" w:firstLine="1428"/>
        <w:spacing w:after="0" w:line="255" w:lineRule="auto"/>
        <w:tabs>
          <w:tab w:leader="none" w:pos="179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none of the Company Plans currently provides, or reflects or represents any liability to provide, post-termination or retiree welfare benefits to any individual for any reason, except as may be required by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and Section 4980B(b) of the Code or other applicable similar law regarding health care coverage continuation (collectively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w:t>
      </w:r>
    </w:p>
    <w:p>
      <w:pPr>
        <w:spacing w:after="0" w:line="188" w:lineRule="exact"/>
        <w:rPr>
          <w:rFonts w:ascii="Times New Roman" w:cs="Times New Roman" w:eastAsia="Times New Roman" w:hAnsi="Times New Roman"/>
          <w:sz w:val="18"/>
          <w:szCs w:val="18"/>
          <w:color w:val="auto"/>
        </w:rPr>
      </w:pPr>
    </w:p>
    <w:p>
      <w:pPr>
        <w:ind w:left="1844" w:hanging="412"/>
        <w:spacing w:after="0"/>
        <w:tabs>
          <w:tab w:leader="none" w:pos="184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that is not subject exclusively to United States Law (each, a “</w:t>
      </w:r>
      <w:r>
        <w:rPr>
          <w:rFonts w:ascii="Times New Roman" w:cs="Times New Roman" w:eastAsia="Times New Roman" w:hAnsi="Times New Roman"/>
          <w:sz w:val="18"/>
          <w:szCs w:val="18"/>
          <w:u w:val="single" w:color="auto"/>
          <w:color w:val="auto"/>
        </w:rPr>
        <w:t>Non-U.S. Benefit Plan</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employer and employee contributions to each Non-U.S. Benefit Plan required by applicable Law or by the terms of such Non-U.S. Benefit Plan 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w:t>
      </w:r>
    </w:p>
    <w:p>
      <w:pPr>
        <w:spacing w:after="0" w:line="189"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87"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is reasonably expected to result, separately or in the aggregate, in the payment of any “excess parachute payments” within the meaning of Section 280G of the Code.</w:t>
      </w:r>
    </w:p>
    <w:p>
      <w:pPr>
        <w:spacing w:after="0" w:line="161"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entitled to any gross-up, make-whole or other additional payment from the Company or any of its Subsidiaries in respect of any Taxes (including Taxes imposed under Section 409A or 4999 of the Code).</w:t>
      </w:r>
    </w:p>
    <w:p>
      <w:pPr>
        <w:spacing w:after="0" w:line="162"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Except as has not had and would not reasonably be expected to have, individually or in the aggregate, a Material Adverse Effect, since January 1, 2025:</w:t>
      </w:r>
    </w:p>
    <w:p>
      <w:pPr>
        <w:spacing w:after="0" w:line="54" w:lineRule="exact"/>
        <w:rPr>
          <w:sz w:val="20"/>
          <w:szCs w:val="20"/>
          <w:color w:val="auto"/>
        </w:rPr>
      </w:pPr>
    </w:p>
    <w:p>
      <w:pPr>
        <w:jc w:val="both"/>
        <w:ind w:left="4" w:right="20" w:firstLine="987"/>
        <w:spacing w:after="0" w:line="261"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6" w:name="page37"/>
    <w:bookmarkEnd w:id="3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w:t>
      </w:r>
    </w:p>
    <w:p>
      <w:pPr>
        <w:spacing w:after="0" w:line="180" w:lineRule="exact"/>
        <w:rPr>
          <w:sz w:val="20"/>
          <w:szCs w:val="20"/>
          <w:color w:val="auto"/>
        </w:rPr>
      </w:pPr>
    </w:p>
    <w:p>
      <w:pPr>
        <w:ind w:right="20" w:firstLine="987"/>
        <w:spacing w:after="0" w:line="253"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contractor, consultant, leased employee or other non-employee service provider, is and has been properly classified and treated as such for all applicable purposes.</w:t>
      </w:r>
    </w:p>
    <w:p>
      <w:pPr>
        <w:spacing w:after="0" w:line="187"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3.13(d)</w:t>
      </w:r>
      <w:r>
        <w:rPr>
          <w:rFonts w:ascii="Times New Roman" w:cs="Times New Roman" w:eastAsia="Times New Roman" w:hAnsi="Times New Roman"/>
          <w:sz w:val="18"/>
          <w:szCs w:val="18"/>
          <w:color w:val="auto"/>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7" w:name="page38"/>
    <w:bookmarkEnd w:id="37"/>
    <w:p>
      <w:pPr>
        <w:ind w:right="260" w:firstLine="987"/>
        <w:spacing w:after="0" w:line="261"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that would trigger the notice requirements of the WARN Act.</w:t>
      </w:r>
    </w:p>
    <w:p>
      <w:pPr>
        <w:spacing w:after="0" w:line="179" w:lineRule="exact"/>
        <w:rPr>
          <w:rFonts w:ascii="Times New Roman" w:cs="Times New Roman" w:eastAsia="Times New Roman" w:hAnsi="Times New Roman"/>
          <w:sz w:val="18"/>
          <w:szCs w:val="18"/>
          <w:color w:val="auto"/>
        </w:rPr>
      </w:pPr>
    </w:p>
    <w:p>
      <w:pPr>
        <w:ind w:right="60" w:firstLine="987"/>
        <w:spacing w:after="0" w:line="258"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or other individual service provider with annual base compensation in excess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$150,000 intends to terminate his or her employment or engagement with the Company or any of its Subsidiaries prior to the one-year anniversary of the Closing.</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and would not reasonably be expected to have a Material Adverse Effect:</w:t>
      </w:r>
    </w:p>
    <w:p>
      <w:pPr>
        <w:spacing w:after="0" w:line="117" w:lineRule="exact"/>
        <w:rPr>
          <w:sz w:val="20"/>
          <w:szCs w:val="20"/>
          <w:color w:val="auto"/>
        </w:rPr>
      </w:pPr>
    </w:p>
    <w:p>
      <w:pPr>
        <w:ind w:right="16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obtained, are in compliance with, and for the past three years have complied with, all Permits of all Governmental Entities and any other Person that are required under any Environmental Law;</w:t>
      </w:r>
    </w:p>
    <w:p>
      <w:pPr>
        <w:spacing w:after="0" w:line="16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w:t>
      </w:r>
    </w:p>
    <w:p>
      <w:pPr>
        <w:spacing w:after="0" w:line="175"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8" w:name="page39"/>
    <w:bookmarkEnd w:id="38"/>
    <w:p>
      <w:pPr>
        <w:ind w:right="60" w:firstLine="987"/>
        <w:spacing w:after="0" w:line="258"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w:t>
      </w:r>
    </w:p>
    <w:p>
      <w:pPr>
        <w:spacing w:after="0" w:line="183"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are currently subject to any suit, settlement, court order, administrative order, regulatory requirement, judgment or claim relating to a violation of, or liability under, any Environmental Law; and</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has not had and would not reasonably be expected to have a Material Adverse Effect:</w:t>
      </w:r>
    </w:p>
    <w:p>
      <w:pPr>
        <w:spacing w:after="0" w:line="117" w:lineRule="exact"/>
        <w:rPr>
          <w:sz w:val="20"/>
          <w:szCs w:val="20"/>
          <w:color w:val="auto"/>
        </w:rPr>
      </w:pPr>
    </w:p>
    <w:p>
      <w:pPr>
        <w:ind w:right="280" w:firstLine="987"/>
        <w:spacing w:after="0" w:line="266"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timely paid in full all income and other Taxes due and owing by it whether or not shown as due on such Tax Returns, including any such Taxes required to be withheld, collected or deposited by the Company or any of its Subsidiaries;</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pending audits, examinations, investigations or other proceedings in respect of income or other Taxes of the Company or any of its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9" w:name="page40"/>
    <w:bookmarkEnd w:id="39"/>
    <w:p>
      <w:pPr>
        <w:jc w:val="both"/>
        <w:ind w:right="160" w:firstLine="987"/>
        <w:spacing w:after="0" w:line="261"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(after giving effect to such extension or waiver) has not yet expired (in each case other than pursuant to extensions of time to file Tax Returns obtained in the ordinary course of business);</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of the Company or any of its Subsidiaries, except for Permitted Liens;</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“listed transaction” within the meaning of Section 6707A(c)(2) of the Code and Treasury Regulation Section 1.6011-4(b)(2) (or any similar provision of state, local or foreign Law);</w:t>
      </w:r>
    </w:p>
    <w:p>
      <w:pPr>
        <w:spacing w:after="0" w:line="161" w:lineRule="exact"/>
        <w:rPr>
          <w:rFonts w:ascii="Times New Roman" w:cs="Times New Roman" w:eastAsia="Times New Roman" w:hAnsi="Times New Roman"/>
          <w:sz w:val="18"/>
          <w:szCs w:val="18"/>
          <w:color w:val="auto"/>
        </w:rPr>
      </w:pPr>
    </w:p>
    <w:p>
      <w:pPr>
        <w:ind w:right="440" w:firstLine="987"/>
        <w:spacing w:after="0" w:line="261"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w:t>
      </w:r>
    </w:p>
    <w:p>
      <w:pPr>
        <w:spacing w:after="0" w:line="179" w:lineRule="exact"/>
        <w:rPr>
          <w:rFonts w:ascii="Times New Roman" w:cs="Times New Roman" w:eastAsia="Times New Roman" w:hAnsi="Times New Roman"/>
          <w:sz w:val="18"/>
          <w:szCs w:val="18"/>
          <w:color w:val="auto"/>
        </w:rPr>
      </w:pPr>
    </w:p>
    <w:p>
      <w:pPr>
        <w:ind w:right="120" w:firstLine="987"/>
        <w:spacing w:after="0" w:line="282"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Entity within the past three years in a jurisdiction where the Company or any of its Subsidiaries does not file Tax Returns of a certain type that such entity is or may be subject to Taxes in that jurisdiction of such type; and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8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3.16 of the Company Disclosure Letter lists each Contract (other than a Company Plan) of the following types to which the Company or any of its Subsidiaries is a party or by which any of their respective properties or assets is bound:</w:t>
      </w:r>
    </w:p>
    <w:p>
      <w:pPr>
        <w:spacing w:after="0" w:line="53" w:lineRule="exact"/>
        <w:rPr>
          <w:rFonts w:ascii="Times New Roman" w:cs="Times New Roman" w:eastAsia="Times New Roman" w:hAnsi="Times New Roman"/>
          <w:sz w:val="18"/>
          <w:szCs w:val="18"/>
          <w:color w:val="auto"/>
        </w:rPr>
      </w:pPr>
    </w:p>
    <w:p>
      <w:pPr>
        <w:ind w:right="180" w:firstLine="1428"/>
        <w:spacing w:after="0" w:line="282" w:lineRule="auto"/>
        <w:tabs>
          <w:tab w:leader="none" w:pos="164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required to be filed by the Company as a “material contract” pursuant to Item 601(b)(10) of Regulation S-K under the Securities Act or disclosed by the Company on a Current Report on Form 8-K;</w:t>
      </w:r>
    </w:p>
    <w:p>
      <w:pPr>
        <w:spacing w:after="0" w:line="161" w:lineRule="exact"/>
        <w:rPr>
          <w:rFonts w:ascii="Times New Roman" w:cs="Times New Roman" w:eastAsia="Times New Roman" w:hAnsi="Times New Roman"/>
          <w:sz w:val="18"/>
          <w:szCs w:val="18"/>
          <w:color w:val="auto"/>
        </w:rPr>
      </w:pPr>
    </w:p>
    <w:p>
      <w:pPr>
        <w:ind w:right="340" w:firstLine="1428"/>
        <w:spacing w:after="0" w:line="261" w:lineRule="auto"/>
        <w:tabs>
          <w:tab w:leader="none" w:pos="16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0" w:name="page41"/>
    <w:bookmarkEnd w:id="40"/>
    <w:p>
      <w:pPr>
        <w:ind w:right="220" w:firstLine="1428"/>
        <w:spacing w:after="0" w:line="282" w:lineRule="auto"/>
        <w:tabs>
          <w:tab w:leader="none" w:pos="17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with respect to the formation, creation, operation, management or control of a joint venture, partnership or other similar agreement or arrangement;</w:t>
      </w:r>
    </w:p>
    <w:p>
      <w:pPr>
        <w:spacing w:after="0" w:line="161" w:lineRule="exact"/>
        <w:rPr>
          <w:rFonts w:ascii="Times New Roman" w:cs="Times New Roman" w:eastAsia="Times New Roman" w:hAnsi="Times New Roman"/>
          <w:sz w:val="18"/>
          <w:szCs w:val="18"/>
          <w:color w:val="auto"/>
        </w:rPr>
      </w:pPr>
    </w:p>
    <w:p>
      <w:pPr>
        <w:ind w:right="280" w:firstLine="1428"/>
        <w:spacing w:after="0" w:line="282" w:lineRule="auto"/>
        <w:tabs>
          <w:tab w:leader="none" w:pos="17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(other than such Contracts solely between or among the Company and its Subsidiaries) and having an outstanding principal amount in excess of $250,000;</w:t>
      </w:r>
    </w:p>
    <w:p>
      <w:pPr>
        <w:spacing w:after="0" w:line="161"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w:t>
      </w:r>
    </w:p>
    <w:p>
      <w:pPr>
        <w:spacing w:after="0" w:line="179" w:lineRule="exact"/>
        <w:rPr>
          <w:rFonts w:ascii="Times New Roman" w:cs="Times New Roman" w:eastAsia="Times New Roman" w:hAnsi="Times New Roman"/>
          <w:sz w:val="18"/>
          <w:szCs w:val="18"/>
          <w:color w:val="auto"/>
        </w:rPr>
      </w:pPr>
    </w:p>
    <w:p>
      <w:pPr>
        <w:ind w:firstLine="1428"/>
        <w:spacing w:after="0" w:line="282" w:lineRule="auto"/>
        <w:tabs>
          <w:tab w:leader="none" w:pos="17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calls for aggregate payment or receipt by the Company and its Subsidiaries under such Contract of more than $750,000 over the remaining term of such Contract;</w:t>
      </w:r>
    </w:p>
    <w:p>
      <w:pPr>
        <w:spacing w:after="0" w:line="161" w:lineRule="exact"/>
        <w:rPr>
          <w:rFonts w:ascii="Times New Roman" w:cs="Times New Roman" w:eastAsia="Times New Roman" w:hAnsi="Times New Roman"/>
          <w:sz w:val="18"/>
          <w:szCs w:val="18"/>
          <w:color w:val="auto"/>
        </w:rPr>
      </w:pPr>
    </w:p>
    <w:p>
      <w:pPr>
        <w:ind w:right="120" w:firstLine="1428"/>
        <w:spacing w:after="0" w:line="261" w:lineRule="auto"/>
        <w:tabs>
          <w:tab w:leader="none" w:pos="17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w:t>
      </w:r>
    </w:p>
    <w:p>
      <w:pPr>
        <w:spacing w:after="0" w:line="179" w:lineRule="exact"/>
        <w:rPr>
          <w:rFonts w:ascii="Times New Roman" w:cs="Times New Roman" w:eastAsia="Times New Roman" w:hAnsi="Times New Roman"/>
          <w:sz w:val="18"/>
          <w:szCs w:val="18"/>
          <w:color w:val="auto"/>
        </w:rPr>
      </w:pPr>
    </w:p>
    <w:p>
      <w:pPr>
        <w:ind w:firstLine="1428"/>
        <w:spacing w:after="0" w:line="258" w:lineRule="auto"/>
        <w:tabs>
          <w:tab w:leader="none" w:pos="18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w:t>
      </w:r>
    </w:p>
    <w:p>
      <w:pPr>
        <w:spacing w:after="0" w:line="183" w:lineRule="exact"/>
        <w:rPr>
          <w:rFonts w:ascii="Times New Roman" w:cs="Times New Roman" w:eastAsia="Times New Roman" w:hAnsi="Times New Roman"/>
          <w:sz w:val="18"/>
          <w:szCs w:val="18"/>
          <w:color w:val="auto"/>
        </w:rPr>
      </w:pPr>
    </w:p>
    <w:p>
      <w:pPr>
        <w:ind w:right="440" w:firstLine="1428"/>
        <w:spacing w:after="0" w:line="266" w:lineRule="auto"/>
        <w:tabs>
          <w:tab w:leader="none" w:pos="17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has provided funds to or made any loan, capital contribution or other investment in, or assumed any liability or obligation of, any Person, in excess of $250,000, including take-or-pay contracts or keepwell agreements;</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not entered into in the ordinary course of business between the Company or any of its Subsidiaries, on the one hand, and any Affiliate thereof other than any Subsidiary of the Company;</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with a former executive officer or director of the Company or any of its Subsidiaries;</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1" w:name="page42"/>
    <w:bookmarkEnd w:id="41"/>
    <w:p>
      <w:pPr>
        <w:ind w:left="4" w:right="1540" w:firstLine="1428"/>
        <w:spacing w:after="0" w:line="500" w:lineRule="auto"/>
        <w:tabs>
          <w:tab w:leader="none" w:pos="18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relating to settlement or other final disposition of any material Action since January 1, 2024. Each contract of the type described in clauses (i) through (xiii) is referred to herein as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w:t>
      </w:r>
    </w:p>
    <w:p>
      <w:pPr>
        <w:spacing w:after="0" w:line="19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Material Adverse Effect, with respect to each such insurance policy,</w:t>
      </w:r>
    </w:p>
    <w:p>
      <w:pPr>
        <w:spacing w:after="0" w:line="5" w:lineRule="exact"/>
        <w:rPr>
          <w:sz w:val="20"/>
          <w:szCs w:val="20"/>
          <w:color w:val="auto"/>
        </w:rPr>
      </w:pPr>
    </w:p>
    <w:p>
      <w:pPr>
        <w:ind w:left="4" w:right="20" w:hanging="4"/>
        <w:spacing w:after="0" w:line="251"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42" w:name="page43"/>
    <w:bookmarkEnd w:id="4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3.18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6"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3.18(a)(i)</w:t>
      </w:r>
      <w:r>
        <w:rPr>
          <w:rFonts w:ascii="Times New Roman" w:cs="Times New Roman" w:eastAsia="Times New Roman" w:hAnsi="Times New Roman"/>
          <w:sz w:val="18"/>
          <w:szCs w:val="18"/>
          <w:color w:val="auto"/>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 w:cs="Times New Roman" w:eastAsia="Times New Roman" w:hAnsi="Times New Roman"/>
          <w:sz w:val="18"/>
          <w:szCs w:val="18"/>
          <w:u w:val="single" w:color="auto"/>
          <w:color w:val="auto"/>
        </w:rPr>
        <w:t>Section 3.18(a)(ii)</w:t>
      </w:r>
      <w:r>
        <w:rPr>
          <w:rFonts w:ascii="Times New Roman" w:cs="Times New Roman" w:eastAsia="Times New Roman" w:hAnsi="Times New Roman"/>
          <w:sz w:val="18"/>
          <w:szCs w:val="18"/>
          <w:color w:val="auto"/>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w:t>
      </w:r>
    </w:p>
    <w:p>
      <w:pPr>
        <w:spacing w:after="0" w:line="187" w:lineRule="exact"/>
        <w:rPr>
          <w:rFonts w:ascii="Times New Roman" w:cs="Times New Roman" w:eastAsia="Times New Roman" w:hAnsi="Times New Roman"/>
          <w:sz w:val="18"/>
          <w:szCs w:val="18"/>
          <w:color w:val="auto"/>
        </w:rPr>
      </w:pPr>
    </w:p>
    <w:p>
      <w:pPr>
        <w:jc w:val="both"/>
        <w:ind w:left="4" w:right="40" w:firstLine="987"/>
        <w:spacing w:after="0" w:line="261" w:lineRule="auto"/>
        <w:tabs>
          <w:tab w:leader="none" w:pos="1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 True, correct and complete copies of all Lease Agreements have been made available to Parent.</w:t>
      </w:r>
    </w:p>
    <w:p>
      <w:pPr>
        <w:spacing w:after="0" w:line="179"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w:t>
      </w:r>
    </w:p>
    <w:p>
      <w:pPr>
        <w:spacing w:after="0" w:line="187"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w:t>
      </w:r>
    </w:p>
    <w:p>
      <w:pPr>
        <w:spacing w:after="0" w:line="179"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Owned Real Property and Leased Real Property constitute all of the material real property used or necessary for use in connection with the conduct of the business of the Company and its Subsidiaries as presently conducted.</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w:t>
      </w:r>
    </w:p>
    <w:p>
      <w:pPr>
        <w:spacing w:after="0" w:line="3" w:lineRule="exact"/>
        <w:rPr>
          <w:sz w:val="20"/>
          <w:szCs w:val="20"/>
          <w:color w:val="auto"/>
        </w:rPr>
      </w:pPr>
    </w:p>
    <w:p>
      <w:pPr>
        <w:ind w:left="4" w:right="720" w:hanging="4"/>
        <w:spacing w:after="0" w:line="260" w:lineRule="auto"/>
        <w:tabs>
          <w:tab w:leader="none" w:pos="3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owned by the Company or any of its Subsidiaries, and any other equivalent rights in works of authorship, and registrations and applications for registration for any of the foregoing; (iv) intellectual property rights in software; and (v) trade secrets</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70" w:right="499" w:bottom="1440" w:gutter="0" w:footer="0" w:header="0"/>
        </w:sectPr>
      </w:pPr>
    </w:p>
    <w:bookmarkStart w:id="43" w:name="page44"/>
    <w:bookmarkEnd w:id="4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their respective businesses as currently conducted (collectively,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w:t>
      </w:r>
    </w:p>
    <w:p>
      <w:pPr>
        <w:spacing w:after="0" w:line="19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No “moratorium,” “fair price,” “business combination,” “control share acquisition” or similar provision of any state anti-takeover Law (collectively, “</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or any similar anti-takeover provision in the Company Charter or Company Bylaws is, or at the Effective Time will be, applicable to this Agreement or the Transactions.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No Rights Plan</w:t>
      </w:r>
      <w:r>
        <w:rPr>
          <w:rFonts w:ascii="Times New Roman" w:cs="Times New Roman" w:eastAsia="Times New Roman" w:hAnsi="Times New Roman"/>
          <w:sz w:val="18"/>
          <w:szCs w:val="18"/>
          <w:color w:val="auto"/>
        </w:rPr>
        <w:t>. There is no stockholder rights plan, “poison pill,” anti-takeover plan or other similar device in effect to which the Company is a party or is otherwise bound.</w:t>
      </w:r>
    </w:p>
    <w:p>
      <w:pPr>
        <w:spacing w:after="0" w:line="16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87"/>
        <w:spacing w:after="0" w:line="26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4" w:name="page45"/>
    <w:bookmarkEnd w:id="44"/>
    <w:p>
      <w:pPr>
        <w:ind w:left="4" w:firstLine="987"/>
        <w:spacing w:after="0" w:line="261" w:lineRule="auto"/>
        <w:tabs>
          <w:tab w:leader="none" w:pos="125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w:t>
      </w:r>
    </w:p>
    <w:p>
      <w:pPr>
        <w:spacing w:after="0" w:line="179"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experienced any material data security incident or breach in which Personal Information maintained or processed by or on behalf of the 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Relations With Governments, etc.; International Trade Matters; Anti-Corruption Matters; Anti-Money Laundering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8" w:lineRule="auto"/>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United Kingdom’s Bribery Act of 2010, and the rules and regulations thereunder; or any other anticorruption Laws applicable to the Company or any of its Subsidiaries (collectively, “</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influencing any act or decision of a Public Official in his official capacity, including a decision or omission to fail to perform official functions,</w:t>
      </w:r>
    </w:p>
    <w:p>
      <w:pPr>
        <w:spacing w:after="0" w:line="9"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45" w:name="page46"/>
    <w:bookmarkEnd w:id="45"/>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or restrictive measures relating to economic or trade sanctions or embargoes, including those administered or enforced by the U.S. Department of Treasury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Without limiting the foregoing:</w:t>
      </w:r>
    </w:p>
    <w:p>
      <w:pPr>
        <w:spacing w:after="0" w:line="117" w:lineRule="exact"/>
        <w:rPr>
          <w:sz w:val="20"/>
          <w:szCs w:val="20"/>
          <w:color w:val="auto"/>
        </w:rPr>
      </w:pPr>
    </w:p>
    <w:p>
      <w:pPr>
        <w:ind w:left="4" w:right="380" w:firstLine="1428"/>
        <w:spacing w:after="0" w:line="266" w:lineRule="auto"/>
        <w:tabs>
          <w:tab w:leader="none" w:pos="1651"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 w:cs="Times New Roman" w:eastAsia="Times New Roman" w:hAnsi="Times New Roman"/>
          <w:sz w:val="18"/>
          <w:szCs w:val="18"/>
          <w:u w:val="single" w:color="auto"/>
          <w:color w:val="auto"/>
        </w:rPr>
        <w:t>Export Approvals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in all material respects, with the terms of any Export Approvals.</w:t>
      </w:r>
    </w:p>
    <w:p>
      <w:pPr>
        <w:spacing w:after="0" w:line="225"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w:t>
      </w:r>
    </w:p>
    <w:p>
      <w:pPr>
        <w:spacing w:after="0" w:line="3" w:lineRule="exact"/>
        <w:rPr>
          <w:rFonts w:ascii="Times New Roman" w:cs="Times New Roman" w:eastAsia="Times New Roman" w:hAnsi="Times New Roman"/>
          <w:sz w:val="18"/>
          <w:szCs w:val="18"/>
          <w:color w:val="auto"/>
        </w:rPr>
      </w:pPr>
    </w:p>
    <w:p>
      <w:pPr>
        <w:ind w:left="4" w:right="160" w:hanging="4"/>
        <w:spacing w:after="0" w:line="253"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70" w:right="499" w:bottom="1440" w:gutter="0" w:footer="0" w:header="0"/>
        </w:sectPr>
      </w:pPr>
    </w:p>
    <w:bookmarkStart w:id="46" w:name="page47"/>
    <w:bookmarkEnd w:id="46"/>
    <w:p>
      <w:pPr>
        <w:ind w:firstLine="987"/>
        <w:spacing w:after="0" w:line="255"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w:t>
      </w:r>
    </w:p>
    <w:p>
      <w:pPr>
        <w:spacing w:after="0" w:line="188"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of the Company Disclosure Letter, no broker, investment banker, financial advisor or other Person is entitled to any broker’s, finder’s, financial advisor’s or other similar fee or commission in connection with the Transactions based upon arrangements made by or on behalf of the Company.</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Reorganization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82"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taken any action or knows of any fact, agreement, plan or other circumstance that would reasonably be expected to prevent or preclude the Merger from qualifying for the Intended Tax Treatment.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7" w:name="page48"/>
    <w:bookmarkEnd w:id="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Company is not an “investment company” within the meaning of Section 368(a)(2)(F) of the Code.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Top Customers and Suppliers</w:t>
      </w:r>
      <w:r>
        <w:rPr>
          <w:rFonts w:ascii="Times New Roman" w:cs="Times New Roman" w:eastAsia="Times New Roman" w:hAnsi="Times New Roman"/>
          <w:sz w:val="18"/>
          <w:szCs w:val="18"/>
          <w:color w:val="auto"/>
        </w:rPr>
        <w:t>. Section 3.28 of the Company Disclosure Letter sets forth a true and complete list of (i) the top ten suppliers (each a “</w:t>
      </w:r>
      <w:r>
        <w:rPr>
          <w:rFonts w:ascii="Times New Roman" w:cs="Times New Roman" w:eastAsia="Times New Roman" w:hAnsi="Times New Roman"/>
          <w:sz w:val="18"/>
          <w:szCs w:val="18"/>
          <w:u w:val="single" w:color="auto"/>
          <w:color w:val="auto"/>
        </w:rPr>
        <w:t>Company Top Supplier</w:t>
      </w:r>
      <w:r>
        <w:rPr>
          <w:rFonts w:ascii="Times New Roman" w:cs="Times New Roman" w:eastAsia="Times New Roman" w:hAnsi="Times New Roman"/>
          <w:sz w:val="18"/>
          <w:szCs w:val="18"/>
          <w:color w:val="auto"/>
        </w:rPr>
        <w:t>), and (ii) the top ten customers (each a “</w:t>
      </w:r>
      <w:r>
        <w:rPr>
          <w:rFonts w:ascii="Times New Roman" w:cs="Times New Roman" w:eastAsia="Times New Roman" w:hAnsi="Times New Roman"/>
          <w:sz w:val="18"/>
          <w:szCs w:val="18"/>
          <w:u w:val="single" w:color="auto"/>
          <w:color w:val="auto"/>
        </w:rPr>
        <w:t>Company Top Customer</w:t>
      </w:r>
      <w:r>
        <w:rPr>
          <w:rFonts w:ascii="Times New Roman" w:cs="Times New Roman" w:eastAsia="Times New Roman" w:hAnsi="Times New Roman"/>
          <w:sz w:val="18"/>
          <w:szCs w:val="18"/>
          <w:color w:val="auto"/>
        </w:rPr>
        <w:t>), respectively, by the aggregate dollar amount of payments to or from, as applicable, such supplier or dealer, for each of calendar year 2025 and the first calendar quarter of 2026, in each case of the Company and its Subsidiaries, taken as a whole.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EU Prospectus Regulation</w:t>
      </w:r>
      <w:r>
        <w:rPr>
          <w:rFonts w:ascii="Times New Roman" w:cs="Times New Roman" w:eastAsia="Times New Roman" w:hAnsi="Times New Roman"/>
          <w:sz w:val="18"/>
          <w:szCs w:val="18"/>
          <w:color w:val="auto"/>
        </w:rPr>
        <w:t>. There are not more than 149 beneficial owners of Company Common Stock in any member state of the European Economic Area (comprising the 27 member states of the European Union, plus Iceland, Liechtenstein, and Norway).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HAS CONDUCTED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ITS SATISFACTION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ITS OWN INDEPENDENT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INVESTIGATION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REVIEW AND ANALYSIS OF THE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PROSPECTS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CONDITION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FINANCIAL OR OTHERWISE</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ASSETS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ARENT AND ITS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UBSIDIARIES</w:t>
      </w:r>
      <w:r>
        <w:rPr>
          <w:rFonts w:ascii="Times New Roman" w:cs="Times New Roman" w:eastAsia="Times New Roman" w:hAnsi="Times New Roman"/>
          <w:sz w:val="17"/>
          <w:szCs w:val="17"/>
          <w:color w:val="auto"/>
        </w:rPr>
        <w:t>. I</w:t>
      </w:r>
      <w:r>
        <w:rPr>
          <w:rFonts w:ascii="Times New Roman" w:cs="Times New Roman" w:eastAsia="Times New Roman" w:hAnsi="Times New Roman"/>
          <w:sz w:val="15"/>
          <w:szCs w:val="15"/>
          <w:color w:val="auto"/>
        </w:rPr>
        <w:t>N MAKING ITS DETERMINATION TO PROCEED WITH THE TRANSACTIONS CONTEMPLATED BY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INCLUDING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HAS RELIED SOLELY ON THE RESULTS OF ITS OWN INDEPENDENT REVIEW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THE COVENANTS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REPRESENTATIONS AND WARRANTIES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ARENT AND </w:t>
      </w:r>
      <w:r>
        <w:rPr>
          <w:rFonts w:ascii="Times New Roman" w:cs="Times New Roman" w:eastAsia="Times New Roman" w:hAnsi="Times New Roman"/>
          <w:sz w:val="17"/>
          <w:szCs w:val="17"/>
          <w:color w:val="auto"/>
        </w:rPr>
        <w:t>M</w:t>
      </w:r>
      <w:r>
        <w:rPr>
          <w:rFonts w:ascii="Times New Roman" w:cs="Times New Roman" w:eastAsia="Times New Roman" w:hAnsi="Times New Roman"/>
          <w:sz w:val="15"/>
          <w:szCs w:val="15"/>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 xml:space="preserve">UB CONTAINED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5"/>
          <w:szCs w:val="15"/>
          <w:u w:val="single" w:color="auto"/>
          <w:color w:val="auto"/>
        </w:rPr>
        <w:t>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AS QUALIFIED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ISCLOSURE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OF THIS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XCEPT FOR THE REPRESENTATIONS AND WARRANTIES CONTAINED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4"/>
          <w:szCs w:val="14"/>
          <w:u w:val="single" w:color="auto"/>
          <w:color w:val="auto"/>
        </w:rPr>
        <w:t>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QUALIFIED BY THE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ARENT </w:t>
      </w:r>
      <w:r>
        <w:rPr>
          <w:rFonts w:ascii="Times New Roman" w:cs="Times New Roman" w:eastAsia="Times New Roman" w:hAnsi="Times New Roman"/>
          <w:sz w:val="17"/>
          <w:szCs w:val="17"/>
          <w:color w:val="auto"/>
        </w:rPr>
        <w:t>D</w:t>
      </w:r>
      <w:r>
        <w:rPr>
          <w:rFonts w:ascii="Times New Roman" w:cs="Times New Roman" w:eastAsia="Times New Roman" w:hAnsi="Times New Roman"/>
          <w:sz w:val="15"/>
          <w:szCs w:val="15"/>
          <w:color w:val="auto"/>
        </w:rPr>
        <w:t xml:space="preserve">ISCLOSURE </w:t>
      </w:r>
      <w:r>
        <w:rPr>
          <w:rFonts w:ascii="Times New Roman" w:cs="Times New Roman" w:eastAsia="Times New Roman" w:hAnsi="Times New Roman"/>
          <w:sz w:val="17"/>
          <w:szCs w:val="17"/>
          <w:color w:val="auto"/>
        </w:rPr>
        <w:t>L</w:t>
      </w:r>
      <w:r>
        <w:rPr>
          <w:rFonts w:ascii="Times New Roman" w:cs="Times New Roman" w:eastAsia="Times New Roman" w:hAnsi="Times New Roman"/>
          <w:sz w:val="15"/>
          <w:szCs w:val="15"/>
          <w:color w:val="auto"/>
        </w:rPr>
        <w:t>ETTER</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 xml:space="preserve">OMPANY ACKNOWLEDGES AND AGREES THAT NEITHER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ARENT</w:t>
      </w:r>
      <w:r>
        <w:rPr>
          <w:rFonts w:ascii="Times New Roman" w:cs="Times New Roman" w:eastAsia="Times New Roman" w:hAnsi="Times New Roman"/>
          <w:sz w:val="17"/>
          <w:szCs w:val="17"/>
          <w:color w:val="auto"/>
        </w:rPr>
        <w:t>, M</w:t>
      </w:r>
      <w:r>
        <w:rPr>
          <w:rFonts w:ascii="Times New Roman" w:cs="Times New Roman" w:eastAsia="Times New Roman" w:hAnsi="Times New Roman"/>
          <w:sz w:val="15"/>
          <w:szCs w:val="15"/>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UB NOR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ERSON MAKES ANY EXPRESS OR IMPLIED REPRESENTATION OR WARRANTY ON BEHALF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ARENT</w:t>
      </w:r>
      <w:r>
        <w:rPr>
          <w:rFonts w:ascii="Times New Roman" w:cs="Times New Roman" w:eastAsia="Times New Roman" w:hAnsi="Times New Roman"/>
          <w:sz w:val="17"/>
          <w:szCs w:val="17"/>
          <w:color w:val="auto"/>
        </w:rPr>
        <w:t>, M</w:t>
      </w:r>
      <w:r>
        <w:rPr>
          <w:rFonts w:ascii="Times New Roman" w:cs="Times New Roman" w:eastAsia="Times New Roman" w:hAnsi="Times New Roman"/>
          <w:sz w:val="15"/>
          <w:szCs w:val="15"/>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UB OR ANY OF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AND NEITHER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 NOR ANY OTHER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ERSON WILL HAVE OR BE SUBJECT TO ANY LIABILITY TO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ERSON RESULTING FROM THE DISTRIBUTION TO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 xml:space="preserve">OMPANY OR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S USE OF</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ANY INFORMATION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DOCUMENTS</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PROJECTIONS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FORECASTS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OR OTHER MATERIAL MADE AVAILABLE TO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WHETHER IN CERTAIN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DATA ROOMS</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OR MANAGEMENT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PRESENTATIONS OR OTHERWISE</w:t>
      </w:r>
      <w:r>
        <w:rPr>
          <w:rFonts w:ascii="Times New Roman" w:cs="Times New Roman" w:eastAsia="Times New Roman" w:hAnsi="Times New Roman"/>
          <w:sz w:val="17"/>
          <w:szCs w:val="17"/>
          <w:color w:val="auto"/>
        </w:rPr>
        <w:t>. T</w:t>
      </w:r>
      <w:r>
        <w:rPr>
          <w:rFonts w:ascii="Times New Roman" w:cs="Times New Roman" w:eastAsia="Times New Roman" w:hAnsi="Times New Roman"/>
          <w:sz w:val="15"/>
          <w:szCs w:val="15"/>
          <w:color w:val="auto"/>
        </w:rPr>
        <w:t xml:space="preserve">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 xml:space="preserve">OMPANY ACKNOWLEDGES AND AGREES THAT NONE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ARENT</w:t>
      </w:r>
      <w:r>
        <w:rPr>
          <w:rFonts w:ascii="Times New Roman" w:cs="Times New Roman" w:eastAsia="Times New Roman" w:hAnsi="Times New Roman"/>
          <w:sz w:val="17"/>
          <w:szCs w:val="17"/>
          <w:color w:val="auto"/>
        </w:rPr>
        <w:t>, M</w:t>
      </w:r>
      <w:r>
        <w:rPr>
          <w:rFonts w:ascii="Times New Roman" w:cs="Times New Roman" w:eastAsia="Times New Roman" w:hAnsi="Times New Roman"/>
          <w:sz w:val="15"/>
          <w:szCs w:val="15"/>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 xml:space="preserve">UB OR 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ERSON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MADE ANY REPRESENTATION OR WARRANTY</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EXPRESS OR IMPLIED</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EXCEPT AS EXPRESSLY SET FORTH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5"/>
          <w:szCs w:val="15"/>
          <w:u w:val="single" w:color="auto"/>
          <w:color w:val="auto"/>
        </w:rPr>
        <w:t>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AS QUALIFIED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ISCLOSURE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ACKNOWLEDGES AND AGREES THAT IT HAS NOT RELIED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AND DISCLAIMS RELIANCE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SUCH REPRESENTATION OR WARRANTY OTHER THAN THOSE EXPRESSLY SET FORTH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5"/>
          <w:szCs w:val="15"/>
          <w:u w:val="single" w:color="auto"/>
          <w:color w:val="auto"/>
        </w:rPr>
        <w:t>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AS QUALIFIED BY THE </w:t>
      </w:r>
      <w:r>
        <w:rPr>
          <w:rFonts w:ascii="Times New Roman" w:cs="Times New Roman" w:eastAsia="Times New Roman" w:hAnsi="Times New Roman"/>
          <w:sz w:val="17"/>
          <w:szCs w:val="17"/>
          <w:color w:val="auto"/>
        </w:rPr>
        <w:t>P</w:t>
      </w:r>
      <w:r>
        <w:rPr>
          <w:rFonts w:ascii="Times New Roman" w:cs="Times New Roman" w:eastAsia="Times New Roman" w:hAnsi="Times New Roman"/>
          <w:sz w:val="15"/>
          <w:szCs w:val="15"/>
          <w:color w:val="auto"/>
        </w:rPr>
        <w:t xml:space="preserve">ARENT </w:t>
      </w:r>
      <w:r>
        <w:rPr>
          <w:rFonts w:ascii="Times New Roman" w:cs="Times New Roman" w:eastAsia="Times New Roman" w:hAnsi="Times New Roman"/>
          <w:sz w:val="17"/>
          <w:szCs w:val="17"/>
          <w:color w:val="auto"/>
        </w:rPr>
        <w:t>D</w:t>
      </w:r>
      <w:r>
        <w:rPr>
          <w:rFonts w:ascii="Times New Roman" w:cs="Times New Roman" w:eastAsia="Times New Roman" w:hAnsi="Times New Roman"/>
          <w:sz w:val="15"/>
          <w:szCs w:val="15"/>
          <w:color w:val="auto"/>
        </w:rPr>
        <w:t>ISCLOSURE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Parent and Merger Sub represent and warrant to the Company as follows: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48" w:name="page49"/>
    <w:bookmarkEnd w:id="48"/>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w:t>
      </w:r>
    </w:p>
    <w:p>
      <w:pPr>
        <w:spacing w:after="0" w:line="12" w:lineRule="exact"/>
        <w:rPr>
          <w:sz w:val="20"/>
          <w:szCs w:val="20"/>
          <w:color w:val="auto"/>
        </w:rPr>
      </w:pPr>
    </w:p>
    <w:p>
      <w:pPr>
        <w:ind w:left="4" w:right="20" w:hanging="4"/>
        <w:spacing w:after="0" w:line="25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49" w:name="page50"/>
    <w:bookmarkEnd w:id="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1" w:lineRule="auto"/>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1,356,000,000 Parent Ordinary Shares. As of 5:00 p.m. Central Time on May 28, 2026 (the “</w:t>
      </w:r>
      <w:r>
        <w:rPr>
          <w:rFonts w:ascii="Times New Roman" w:cs="Times New Roman" w:eastAsia="Times New Roman" w:hAnsi="Times New Roman"/>
          <w:sz w:val="18"/>
          <w:szCs w:val="18"/>
          <w:u w:val="single" w:color="auto"/>
          <w:color w:val="auto"/>
        </w:rPr>
        <w:t>Parent Measurement Time</w:t>
      </w:r>
      <w:r>
        <w:rPr>
          <w:rFonts w:ascii="Times New Roman" w:cs="Times New Roman" w:eastAsia="Times New Roman" w:hAnsi="Times New Roman"/>
          <w:sz w:val="18"/>
          <w:szCs w:val="18"/>
          <w:color w:val="auto"/>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or (z) in the Parent SEC Documents, as of the Parent Measurement Time, there are no outstanding (A) shares of capital stock or other voting securities or equity interests of Parent,</w:t>
      </w:r>
    </w:p>
    <w:p>
      <w:pPr>
        <w:spacing w:after="0" w:line="10" w:lineRule="exact"/>
        <w:rPr>
          <w:rFonts w:ascii="Times New Roman" w:cs="Times New Roman" w:eastAsia="Times New Roman" w:hAnsi="Times New Roman"/>
          <w:sz w:val="18"/>
          <w:szCs w:val="18"/>
          <w:color w:val="auto"/>
        </w:rPr>
      </w:pPr>
    </w:p>
    <w:p>
      <w:pPr>
        <w:ind w:left="4" w:right="100" w:hanging="4"/>
        <w:spacing w:after="0" w:line="252" w:lineRule="auto"/>
        <w:tabs>
          <w:tab w:leader="none" w:pos="2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w:t>
      </w:r>
    </w:p>
    <w:p>
      <w:pPr>
        <w:spacing w:after="0" w:line="189"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2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Merger Sub consists of 1,000 shares of common stock, par value $0.001 per share, of which 1,000 shares are issued and outstanding, all of which shares are directly or indirectly owned by Parent.</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50" w:name="page51"/>
    <w:bookmarkEnd w:id="5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 w:cs="Times New Roman" w:eastAsia="Times New Roman" w:hAnsi="Times New Roman"/>
          <w:sz w:val="18"/>
          <w:szCs w:val="18"/>
          <w:u w:val="single" w:color="auto"/>
          <w:color w:val="auto"/>
        </w:rPr>
        <w:t>Section 4.4(b)(i), (ii) and (iii)</w:t>
      </w:r>
      <w:r>
        <w:rPr>
          <w:rFonts w:ascii="Times New Roman" w:cs="Times New Roman" w:eastAsia="Times New Roman" w:hAnsi="Times New Roman"/>
          <w:sz w:val="18"/>
          <w:szCs w:val="18"/>
          <w:color w:val="auto"/>
        </w:rPr>
        <w:t>,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w:t>
      </w:r>
    </w:p>
    <w:p>
      <w:pPr>
        <w:spacing w:after="0" w:line="18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1" w:name="page52"/>
    <w:bookmarkEnd w:id="5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w:t>
      </w:r>
    </w:p>
    <w:p>
      <w:pPr>
        <w:spacing w:after="0" w:line="189"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52" w:name="page53"/>
    <w:bookmarkEnd w:id="52"/>
    <w:p>
      <w:pPr>
        <w:ind w:right="140" w:firstLine="987"/>
        <w:spacing w:after="0" w:line="255"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w:t>
      </w:r>
    </w:p>
    <w:p>
      <w:pPr>
        <w:spacing w:after="0" w:line="188"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w:t>
      </w:r>
    </w:p>
    <w:p>
      <w:pPr>
        <w:spacing w:after="0" w:line="175"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the (i) provisions of the Sarbanes-Oxley Act and (ii) the rules and regulations of Nasdaq Global Select, in each case, that are applicable to Parent.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Parent is required to file any form, report, schedule, statement or other document with the SEC.</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 Form S-4 and the Information Statement will comply as to form in all material respects with the provisions of the Exchange Act and the 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w:t>
      </w:r>
    </w:p>
    <w:p>
      <w:pPr>
        <w:spacing w:after="0" w:line="18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Certain Changes of Events</w:t>
      </w:r>
      <w:r>
        <w:rPr>
          <w:rFonts w:ascii="Times New Roman" w:cs="Times New Roman" w:eastAsia="Times New Roman" w:hAnsi="Times New Roman"/>
          <w:sz w:val="18"/>
          <w:szCs w:val="18"/>
          <w:color w:val="auto"/>
        </w:rPr>
        <w:t>. Since March 31, 2026 through the date of this Agreement, there has not been or occurred any Parent Material Adverse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3" w:name="page54"/>
    <w:bookmarkEnd w:id="5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has not and would not reasonably be expected to have a Parent Material Adverse Effect, Parent and each of its Subsidiaries, as applicable, are and, since January 1, 2024 have been, in compliance with all applicable Laws.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No Takeover Laws or any similar anti-takeover provision in the organizational documents of Parent is, or at the Effective Time will be, applicable to this Agreement or the Transactions.</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all of the issued and outstanding capital stock of Merger Sub is owned directly or indirectly by Parent and directly by US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Reorganization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87"/>
        <w:spacing w:after="0" w:line="282"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Merger Sub or any of their respective Affiliates has taken any action or knows of any fact, agreement, plan or other circumstance that would reasonably be expected to prevent or preclude the Merger from qualifying for the Intended Tax Treatment.</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Merger Sub is a direct, wholly owned Subsidiary of US Parent and is classified as an association taxable as a corporation for U.S. federal income tax purposes (and applicable state and local Tax purposes) and no election has been filed or made to change such classification.</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is an “investment company” within the meaning of Section 368(a)(2)(F) of the Code.</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is a foreign corporation for U.S. federal income tax purposes, Parent and its Subsidiaries will satisfy the “active trade or business test” (within the meaning of Treasury Regulation Section 1.367(a)-3(c)(3)) applicable with respect to the Merger.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4" w:name="page55"/>
    <w:bookmarkEnd w:id="54"/>
    <w:p>
      <w:pPr>
        <w:ind w:left="4" w:right="140" w:firstLine="4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4.14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ACH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 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 HAS CONDUCTED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TO ITS SATISFACTION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ITS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INDEPENDENT INVESTIGATION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REVIEW AND ANALYSIS OF THE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PROSPECTS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CONDITION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FINANCIAL OR OTHERWISE</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OR ASSETS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AND ITS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UBSIDIARIES</w:t>
      </w:r>
      <w:r>
        <w:rPr>
          <w:rFonts w:ascii="Times New Roman" w:cs="Times New Roman" w:eastAsia="Times New Roman" w:hAnsi="Times New Roman"/>
          <w:sz w:val="17"/>
          <w:szCs w:val="17"/>
          <w:color w:val="auto"/>
        </w:rPr>
        <w:t>. I</w:t>
      </w:r>
      <w:r>
        <w:rPr>
          <w:rFonts w:ascii="Times New Roman" w:cs="Times New Roman" w:eastAsia="Times New Roman" w:hAnsi="Times New Roman"/>
          <w:sz w:val="14"/>
          <w:szCs w:val="14"/>
          <w:color w:val="auto"/>
        </w:rPr>
        <w:t xml:space="preserve">N MAKING ITS DETERMINATION TO PROCEED WITH THE TRANSACTIONS CONTEMPLATED BY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INCLUDING THE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EACH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AND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 HAS RELIED SOLELY ON THE RESULTS OF ITS OWN INDEPENDENT REVIEW AND ANALYSIS AND THE COVENANTS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REPRESENTATIONS AND WARRANTIES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CONTAINED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4"/>
          <w:szCs w:val="14"/>
          <w:u w:val="single" w:color="auto"/>
          <w:color w:val="auto"/>
        </w:rPr>
        <w:t>RTICLE</w:t>
      </w:r>
    </w:p>
    <w:p>
      <w:pPr>
        <w:spacing w:after="0" w:line="2" w:lineRule="exact"/>
        <w:rPr>
          <w:sz w:val="20"/>
          <w:szCs w:val="20"/>
          <w:color w:val="auto"/>
        </w:rPr>
      </w:pPr>
    </w:p>
    <w:p>
      <w:pPr>
        <w:ind w:left="4" w:right="40" w:hanging="4"/>
        <w:spacing w:after="0" w:line="266" w:lineRule="auto"/>
        <w:tabs>
          <w:tab w:leader="none" w:pos="229"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AS QUALIFIED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ISCLOSURE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OF THIS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XCEPT FOR THE 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 xml:space="preserve">CONTAINED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4"/>
          <w:szCs w:val="14"/>
          <w:u w:val="single" w:color="auto"/>
          <w:color w:val="auto"/>
        </w:rPr>
        <w:t>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AS QUALIFIED BY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w:t>
      </w:r>
      <w:r>
        <w:rPr>
          <w:rFonts w:ascii="Times New Roman" w:cs="Times New Roman" w:eastAsia="Times New Roman" w:hAnsi="Times New Roman"/>
          <w:sz w:val="17"/>
          <w:szCs w:val="17"/>
          <w:color w:val="auto"/>
        </w:rPr>
        <w:t>D</w:t>
      </w:r>
      <w:r>
        <w:rPr>
          <w:rFonts w:ascii="Times New Roman" w:cs="Times New Roman" w:eastAsia="Times New Roman" w:hAnsi="Times New Roman"/>
          <w:sz w:val="14"/>
          <w:szCs w:val="14"/>
          <w:color w:val="auto"/>
        </w:rPr>
        <w:t xml:space="preserve">ISCLOSURE </w:t>
      </w:r>
      <w:r>
        <w:rPr>
          <w:rFonts w:ascii="Times New Roman" w:cs="Times New Roman" w:eastAsia="Times New Roman" w:hAnsi="Times New Roman"/>
          <w:sz w:val="17"/>
          <w:szCs w:val="17"/>
          <w:color w:val="auto"/>
        </w:rPr>
        <w:t>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EACH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AND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 xml:space="preserve">UB ACKNOWLEDGES AND AGREES THAT NEITHER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NOR 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ERSON MAKES ANY EXPRESS OR IMPLIED REPRESENTATION OR WARRANTY ON BEHALF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OR ANY OF ITS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UBSIDIARIES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NEITHER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NOR 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ERSON WILL HAVE OR BE SUBJECT TO ANY LIABILITY TO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 xml:space="preserve">UB OR 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ERSON RESULTING FROM THE DISTRIBUTION TO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USE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ANY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DOCUMENTS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PROJECTIONS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FORECASTS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OR OTHER MATERIAL MADE AVAILABLE TO</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4"/>
          <w:szCs w:val="14"/>
          <w:color w:val="auto"/>
        </w:rPr>
        <w:t>ARENT OR</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 xml:space="preserve">WHETHER IN CERTAIN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DATA ROOMS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OR MANAGEMENT PRESENTATIONS OR OTHERWISE</w:t>
      </w:r>
      <w:r>
        <w:rPr>
          <w:rFonts w:ascii="Times New Roman" w:cs="Times New Roman" w:eastAsia="Times New Roman" w:hAnsi="Times New Roman"/>
          <w:sz w:val="17"/>
          <w:szCs w:val="17"/>
          <w:color w:val="auto"/>
        </w:rPr>
        <w:t>. E</w:t>
      </w:r>
      <w:r>
        <w:rPr>
          <w:rFonts w:ascii="Times New Roman" w:cs="Times New Roman" w:eastAsia="Times New Roman" w:hAnsi="Times New Roman"/>
          <w:sz w:val="14"/>
          <w:szCs w:val="14"/>
          <w:color w:val="auto"/>
        </w:rPr>
        <w:t xml:space="preserve">ACH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AND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 xml:space="preserve">UB ACKNOWLEDGES AND AGREES THAT NONE OF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OR ANY OTHER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ERSON HAS MADE ANY REPRESENTATION OR WARRANTY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EXPRESS OR IMPLIED</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EXCEPT AS EXPRESSLY SET FORTH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4"/>
          <w:szCs w:val="14"/>
          <w:u w:val="single" w:color="auto"/>
          <w:color w:val="auto"/>
        </w:rPr>
        <w:t>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AS QUALIFIED BY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w:t>
      </w:r>
      <w:r>
        <w:rPr>
          <w:rFonts w:ascii="Times New Roman" w:cs="Times New Roman" w:eastAsia="Times New Roman" w:hAnsi="Times New Roman"/>
          <w:sz w:val="17"/>
          <w:szCs w:val="17"/>
          <w:color w:val="auto"/>
        </w:rPr>
        <w:t>D</w:t>
      </w:r>
      <w:r>
        <w:rPr>
          <w:rFonts w:ascii="Times New Roman" w:cs="Times New Roman" w:eastAsia="Times New Roman" w:hAnsi="Times New Roman"/>
          <w:sz w:val="14"/>
          <w:szCs w:val="14"/>
          <w:color w:val="auto"/>
        </w:rPr>
        <w:t xml:space="preserve">ISCLOSURE </w:t>
      </w:r>
      <w:r>
        <w:rPr>
          <w:rFonts w:ascii="Times New Roman" w:cs="Times New Roman" w:eastAsia="Times New Roman" w:hAnsi="Times New Roman"/>
          <w:sz w:val="17"/>
          <w:szCs w:val="17"/>
          <w:color w:val="auto"/>
        </w:rPr>
        <w:t>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EACH OF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 xml:space="preserve">ARENT AND </w:t>
      </w:r>
      <w:r>
        <w:rPr>
          <w:rFonts w:ascii="Times New Roman" w:cs="Times New Roman" w:eastAsia="Times New Roman" w:hAnsi="Times New Roman"/>
          <w:sz w:val="17"/>
          <w:szCs w:val="17"/>
          <w:color w:val="auto"/>
        </w:rPr>
        <w:t>M</w:t>
      </w:r>
      <w:r>
        <w:rPr>
          <w:rFonts w:ascii="Times New Roman" w:cs="Times New Roman" w:eastAsia="Times New Roman" w:hAnsi="Times New Roman"/>
          <w:sz w:val="14"/>
          <w:szCs w:val="14"/>
          <w:color w:val="auto"/>
        </w:rPr>
        <w:t xml:space="preserve">ERGER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UB ACKNOWLEDGES AND AGREES THAT IT HAS NOT RELIED</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DISCLAIMS RELIANCE 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ANY SUCH REPRESENTATION OR WARRANTY OTHER THAN THOSE EXPRESSLY SET FORTH IN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4"/>
          <w:szCs w:val="14"/>
          <w:u w:val="single" w:color="auto"/>
          <w:color w:val="auto"/>
        </w:rPr>
        <w:t>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AS QUALIFIED BY THE </w:t>
      </w:r>
      <w:r>
        <w:rPr>
          <w:rFonts w:ascii="Times New Roman" w:cs="Times New Roman" w:eastAsia="Times New Roman" w:hAnsi="Times New Roman"/>
          <w:sz w:val="17"/>
          <w:szCs w:val="17"/>
          <w:color w:val="auto"/>
        </w:rPr>
        <w:t>C</w:t>
      </w:r>
      <w:r>
        <w:rPr>
          <w:rFonts w:ascii="Times New Roman" w:cs="Times New Roman" w:eastAsia="Times New Roman" w:hAnsi="Times New Roman"/>
          <w:sz w:val="14"/>
          <w:szCs w:val="14"/>
          <w:color w:val="auto"/>
        </w:rPr>
        <w:t xml:space="preserve">OMPANY </w:t>
      </w:r>
      <w:r>
        <w:rPr>
          <w:rFonts w:ascii="Times New Roman" w:cs="Times New Roman" w:eastAsia="Times New Roman" w:hAnsi="Times New Roman"/>
          <w:sz w:val="17"/>
          <w:szCs w:val="17"/>
          <w:color w:val="auto"/>
        </w:rPr>
        <w:t>D</w:t>
      </w:r>
      <w:r>
        <w:rPr>
          <w:rFonts w:ascii="Times New Roman" w:cs="Times New Roman" w:eastAsia="Times New Roman" w:hAnsi="Times New Roman"/>
          <w:sz w:val="14"/>
          <w:szCs w:val="14"/>
          <w:color w:val="auto"/>
        </w:rPr>
        <w:t xml:space="preserve">ISCLOSURE </w:t>
      </w:r>
      <w:r>
        <w:rPr>
          <w:rFonts w:ascii="Times New Roman" w:cs="Times New Roman" w:eastAsia="Times New Roman" w:hAnsi="Times New Roman"/>
          <w:sz w:val="17"/>
          <w:szCs w:val="17"/>
          <w:color w:val="auto"/>
        </w:rPr>
        <w:t>L</w:t>
      </w:r>
      <w:r>
        <w:rPr>
          <w:rFonts w:ascii="Times New Roman" w:cs="Times New Roman" w:eastAsia="Times New Roman" w:hAnsi="Times New Roman"/>
          <w:sz w:val="14"/>
          <w:szCs w:val="14"/>
          <w:color w:val="auto"/>
        </w:rPr>
        <w:t>ETTER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by the Company</w:t>
      </w:r>
      <w:r>
        <w:rPr>
          <w:rFonts w:ascii="Times New Roman" w:cs="Times New Roman" w:eastAsia="Times New Roman" w:hAnsi="Times New Roman"/>
          <w:sz w:val="18"/>
          <w:szCs w:val="18"/>
          <w:color w:val="auto"/>
        </w:rPr>
        <w:t xml:space="preserve">. From the date of this Agreement to the earlier of the Effective Time or the date this Agreement is terminated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except as set forth in</w:t>
      </w:r>
    </w:p>
    <w:p>
      <w:pPr>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5" w:name="page56"/>
    <w:bookmarkEnd w:id="55"/>
    <w:p>
      <w:pPr>
        <w:ind w:firstLine="1428"/>
        <w:spacing w:after="0" w:line="255" w:lineRule="auto"/>
        <w:tabs>
          <w:tab w:leader="none" w:pos="16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w:t>
      </w:r>
    </w:p>
    <w:p>
      <w:pPr>
        <w:spacing w:after="0" w:line="188" w:lineRule="exact"/>
        <w:rPr>
          <w:rFonts w:ascii="Times New Roman" w:cs="Times New Roman" w:eastAsia="Times New Roman" w:hAnsi="Times New Roman"/>
          <w:sz w:val="18"/>
          <w:szCs w:val="18"/>
          <w:color w:val="auto"/>
        </w:rPr>
      </w:pPr>
    </w:p>
    <w:p>
      <w:pPr>
        <w:ind w:right="80" w:firstLine="1428"/>
        <w:spacing w:after="0" w:line="255"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w:t>
      </w:r>
    </w:p>
    <w:p>
      <w:pPr>
        <w:spacing w:after="0" w:line="188" w:lineRule="exact"/>
        <w:rPr>
          <w:rFonts w:ascii="Times New Roman" w:cs="Times New Roman" w:eastAsia="Times New Roman" w:hAnsi="Times New Roman"/>
          <w:sz w:val="18"/>
          <w:szCs w:val="18"/>
          <w:color w:val="auto"/>
        </w:rPr>
      </w:pPr>
    </w:p>
    <w:p>
      <w:pPr>
        <w:ind w:right="480" w:firstLine="1428"/>
        <w:spacing w:after="0" w:line="282" w:lineRule="auto"/>
        <w:tabs>
          <w:tab w:leader="none" w:pos="17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or authorize or propose to amend or otherwise change, the Company Charter or the Company Bylaws (or similar organizational documents);</w:t>
      </w:r>
    </w:p>
    <w:p>
      <w:pPr>
        <w:spacing w:after="0" w:line="161" w:lineRule="exact"/>
        <w:rPr>
          <w:rFonts w:ascii="Times New Roman" w:cs="Times New Roman" w:eastAsia="Times New Roman" w:hAnsi="Times New Roman"/>
          <w:sz w:val="18"/>
          <w:szCs w:val="18"/>
          <w:color w:val="auto"/>
        </w:rPr>
      </w:pPr>
    </w:p>
    <w:p>
      <w:pPr>
        <w:ind w:right="20" w:firstLine="1428"/>
        <w:spacing w:after="0" w:line="261" w:lineRule="auto"/>
        <w:tabs>
          <w:tab w:leader="none" w:pos="17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w:t>
      </w:r>
    </w:p>
    <w:p>
      <w:pPr>
        <w:spacing w:after="0" w:line="179"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forth on </w:t>
      </w:r>
      <w:r>
        <w:rPr>
          <w:rFonts w:ascii="Times New Roman" w:cs="Times New Roman" w:eastAsia="Times New Roman" w:hAnsi="Times New Roman"/>
          <w:sz w:val="18"/>
          <w:szCs w:val="18"/>
          <w:u w:val="single" w:color="auto"/>
          <w:color w:val="auto"/>
        </w:rPr>
        <w:t>Section 5.1(a)(v)</w:t>
      </w:r>
      <w:r>
        <w:rPr>
          <w:rFonts w:ascii="Times New Roman" w:cs="Times New Roman" w:eastAsia="Times New Roman" w:hAnsi="Times New Roman"/>
          <w:sz w:val="18"/>
          <w:szCs w:val="18"/>
          <w:color w:val="auto"/>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w:t>
      </w:r>
    </w:p>
    <w:p>
      <w:pPr>
        <w:spacing w:after="0" w:line="183" w:lineRule="exact"/>
        <w:rPr>
          <w:rFonts w:ascii="Times New Roman" w:cs="Times New Roman" w:eastAsia="Times New Roman" w:hAnsi="Times New Roman"/>
          <w:sz w:val="18"/>
          <w:szCs w:val="18"/>
          <w:color w:val="auto"/>
        </w:rPr>
      </w:pPr>
    </w:p>
    <w:p>
      <w:pPr>
        <w:ind w:right="80" w:firstLine="1428"/>
        <w:spacing w:after="0" w:line="255" w:lineRule="auto"/>
        <w:tabs>
          <w:tab w:leader="none" w:pos="17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6" w:name="page57"/>
    <w:bookmarkEnd w:id="56"/>
    <w:p>
      <w:pPr>
        <w:ind w:left="4" w:right="20" w:firstLine="1428"/>
        <w:spacing w:after="0" w:line="254" w:lineRule="auto"/>
        <w:tabs>
          <w:tab w:leader="none" w:pos="17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except as set forth in </w:t>
      </w:r>
      <w:r>
        <w:rPr>
          <w:rFonts w:ascii="Times New Roman" w:cs="Times New Roman" w:eastAsia="Times New Roman" w:hAnsi="Times New Roman"/>
          <w:sz w:val="18"/>
          <w:szCs w:val="18"/>
          <w:u w:val="single" w:color="auto"/>
          <w:color w:val="auto"/>
        </w:rPr>
        <w:t>Section 5.1(a)(vii)</w:t>
      </w:r>
      <w:r>
        <w:rPr>
          <w:rFonts w:ascii="Times New Roman" w:cs="Times New Roman" w:eastAsia="Times New Roman" w:hAnsi="Times New Roman"/>
          <w:sz w:val="18"/>
          <w:szCs w:val="18"/>
          <w:color w:val="auto"/>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w:t>
      </w:r>
    </w:p>
    <w:p>
      <w:pPr>
        <w:spacing w:after="0" w:line="191" w:lineRule="exact"/>
        <w:rPr>
          <w:rFonts w:ascii="Times New Roman" w:cs="Times New Roman" w:eastAsia="Times New Roman" w:hAnsi="Times New Roman"/>
          <w:sz w:val="18"/>
          <w:szCs w:val="18"/>
          <w:color w:val="auto"/>
        </w:rPr>
      </w:pPr>
    </w:p>
    <w:p>
      <w:pPr>
        <w:ind w:left="4" w:firstLine="1428"/>
        <w:spacing w:after="0" w:line="266" w:lineRule="auto"/>
        <w:tabs>
          <w:tab w:leader="none" w:pos="184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w:t>
      </w:r>
    </w:p>
    <w:p>
      <w:pPr>
        <w:spacing w:after="0" w:line="175" w:lineRule="exact"/>
        <w:rPr>
          <w:rFonts w:ascii="Times New Roman" w:cs="Times New Roman" w:eastAsia="Times New Roman" w:hAnsi="Times New Roman"/>
          <w:sz w:val="18"/>
          <w:szCs w:val="18"/>
          <w:color w:val="auto"/>
        </w:rPr>
      </w:pPr>
    </w:p>
    <w:p>
      <w:pPr>
        <w:ind w:left="4" w:right="520" w:firstLine="1428"/>
        <w:spacing w:after="0" w:line="258" w:lineRule="auto"/>
        <w:tabs>
          <w:tab w:leader="none" w:pos="174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w:t>
      </w:r>
    </w:p>
    <w:p>
      <w:pPr>
        <w:spacing w:after="0" w:line="183"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financial accounting methods, principles, periods or practices in any material respect, except insofar as may have been required by a change in GAAP;</w:t>
      </w:r>
    </w:p>
    <w:p>
      <w:pPr>
        <w:spacing w:after="0" w:line="161" w:lineRule="exact"/>
        <w:rPr>
          <w:rFonts w:ascii="Times New Roman" w:cs="Times New Roman" w:eastAsia="Times New Roman" w:hAnsi="Times New Roman"/>
          <w:sz w:val="18"/>
          <w:szCs w:val="18"/>
          <w:color w:val="auto"/>
        </w:rPr>
      </w:pPr>
    </w:p>
    <w:p>
      <w:pPr>
        <w:ind w:left="4" w:right="100" w:firstLine="1428"/>
        <w:spacing w:after="0" w:line="289" w:lineRule="auto"/>
        <w:tabs>
          <w:tab w:leader="none" w:pos="174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w:t>
      </w:r>
    </w:p>
    <w:p>
      <w:pPr>
        <w:spacing w:after="0" w:line="157" w:lineRule="exact"/>
        <w:rPr>
          <w:rFonts w:ascii="Times New Roman" w:cs="Times New Roman" w:eastAsia="Times New Roman" w:hAnsi="Times New Roman"/>
          <w:sz w:val="17"/>
          <w:szCs w:val="17"/>
          <w:color w:val="auto"/>
        </w:rPr>
      </w:pPr>
    </w:p>
    <w:p>
      <w:pPr>
        <w:ind w:left="1784" w:hanging="352"/>
        <w:spacing w:after="0"/>
        <w:tabs>
          <w:tab w:leader="none" w:pos="178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GAAP, change its fiscal year;</w:t>
      </w:r>
    </w:p>
    <w:p>
      <w:pPr>
        <w:spacing w:after="0" w:line="225" w:lineRule="exact"/>
        <w:rPr>
          <w:rFonts w:ascii="Times New Roman" w:cs="Times New Roman" w:eastAsia="Times New Roman" w:hAnsi="Times New Roman"/>
          <w:sz w:val="18"/>
          <w:szCs w:val="18"/>
          <w:color w:val="auto"/>
        </w:rPr>
      </w:pPr>
    </w:p>
    <w:p>
      <w:pPr>
        <w:jc w:val="both"/>
        <w:ind w:left="4" w:right="80" w:firstLine="1428"/>
        <w:spacing w:after="0" w:line="270" w:lineRule="auto"/>
        <w:tabs>
          <w:tab w:leader="none" w:pos="184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w:t>
      </w:r>
    </w:p>
    <w:p>
      <w:pPr>
        <w:spacing w:after="0" w:line="2" w:lineRule="exact"/>
        <w:rPr>
          <w:rFonts w:ascii="Times New Roman" w:cs="Times New Roman" w:eastAsia="Times New Roman" w:hAnsi="Times New Roman"/>
          <w:sz w:val="17"/>
          <w:szCs w:val="17"/>
          <w:color w:val="auto"/>
        </w:rPr>
      </w:pPr>
    </w:p>
    <w:p>
      <w:pPr>
        <w:jc w:val="both"/>
        <w:ind w:left="4" w:right="300" w:hanging="4"/>
        <w:spacing w:after="0" w:line="255" w:lineRule="auto"/>
        <w:tabs>
          <w:tab w:leader="none" w:pos="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57" w:name="page58"/>
    <w:bookmarkEnd w:id="57"/>
    <w:p>
      <w:pPr>
        <w:ind w:left="-20" w:right="240" w:firstLine="1428"/>
        <w:spacing w:after="0" w:line="282" w:lineRule="auto"/>
        <w:tabs>
          <w:tab w:leader="none" w:pos="18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 or announce any employee layoffs, plant closing or other personnel actions that would reasonably be expected to trigger the notice requirements of the WARN Act;</w:t>
      </w:r>
    </w:p>
    <w:p>
      <w:pPr>
        <w:spacing w:after="0" w:line="161" w:lineRule="exact"/>
        <w:rPr>
          <w:rFonts w:ascii="Times New Roman" w:cs="Times New Roman" w:eastAsia="Times New Roman" w:hAnsi="Times New Roman"/>
          <w:sz w:val="18"/>
          <w:szCs w:val="18"/>
          <w:color w:val="auto"/>
        </w:rPr>
      </w:pPr>
    </w:p>
    <w:p>
      <w:pPr>
        <w:ind w:left="-20" w:right="120" w:firstLine="1428"/>
        <w:spacing w:after="0" w:line="312" w:lineRule="auto"/>
        <w:tabs>
          <w:tab w:leader="none" w:pos="175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terminate, extend or otherwise modify any Collective Bargaining Agreement, or recognize or certify any Union or group of employees as the bargaining representative for any employees or other individual service providers of the Company or any of its Subsidiaries;</w:t>
      </w:r>
    </w:p>
    <w:p>
      <w:pPr>
        <w:spacing w:after="0" w:line="139" w:lineRule="exact"/>
        <w:rPr>
          <w:rFonts w:ascii="Times New Roman" w:cs="Times New Roman" w:eastAsia="Times New Roman" w:hAnsi="Times New Roman"/>
          <w:sz w:val="17"/>
          <w:szCs w:val="17"/>
          <w:color w:val="auto"/>
        </w:rPr>
      </w:pPr>
    </w:p>
    <w:p>
      <w:pPr>
        <w:ind w:left="-20" w:right="140" w:firstLine="1428"/>
        <w:spacing w:after="0" w:line="282" w:lineRule="auto"/>
        <w:tabs>
          <w:tab w:leader="none" w:pos="18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waiver or release any noncompetition, nonsolicitation, nondisclosure or other restrictive covenant obligation of any current or former employee or other individual service provider;</w:t>
      </w:r>
    </w:p>
    <w:p>
      <w:pPr>
        <w:spacing w:after="0" w:line="161" w:lineRule="exact"/>
        <w:rPr>
          <w:rFonts w:ascii="Times New Roman" w:cs="Times New Roman" w:eastAsia="Times New Roman" w:hAnsi="Times New Roman"/>
          <w:sz w:val="18"/>
          <w:szCs w:val="18"/>
          <w:color w:val="auto"/>
        </w:rPr>
      </w:pPr>
    </w:p>
    <w:p>
      <w:pPr>
        <w:ind w:left="-20" w:right="260" w:firstLine="1428"/>
        <w:spacing w:after="0" w:line="261" w:lineRule="auto"/>
        <w:tabs>
          <w:tab w:leader="none" w:pos="1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w:t>
      </w:r>
    </w:p>
    <w:p>
      <w:pPr>
        <w:spacing w:after="0" w:line="179" w:lineRule="exact"/>
        <w:rPr>
          <w:rFonts w:ascii="Times New Roman" w:cs="Times New Roman" w:eastAsia="Times New Roman" w:hAnsi="Times New Roman"/>
          <w:sz w:val="18"/>
          <w:szCs w:val="18"/>
          <w:color w:val="auto"/>
        </w:rPr>
      </w:pPr>
    </w:p>
    <w:p>
      <w:pPr>
        <w:ind w:left="-20" w:right="380" w:firstLine="1428"/>
        <w:spacing w:after="0" w:line="282" w:lineRule="auto"/>
        <w:tabs>
          <w:tab w:leader="none" w:pos="19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non-compete, exclusivity, non-solicitation or similar agreement that would restrict or limit, in any material respect, the operations of the Company or any of its Subsidiaries;</w:t>
      </w:r>
    </w:p>
    <w:p>
      <w:pPr>
        <w:spacing w:after="0" w:line="161" w:lineRule="exact"/>
        <w:rPr>
          <w:rFonts w:ascii="Times New Roman" w:cs="Times New Roman" w:eastAsia="Times New Roman" w:hAnsi="Times New Roman"/>
          <w:sz w:val="18"/>
          <w:szCs w:val="18"/>
          <w:color w:val="auto"/>
        </w:rPr>
      </w:pPr>
    </w:p>
    <w:p>
      <w:pPr>
        <w:ind w:left="1800" w:hanging="392"/>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outside of its existing business;</w:t>
      </w:r>
    </w:p>
    <w:p>
      <w:pPr>
        <w:spacing w:after="0" w:line="225" w:lineRule="exact"/>
        <w:rPr>
          <w:rFonts w:ascii="Times New Roman" w:cs="Times New Roman" w:eastAsia="Times New Roman" w:hAnsi="Times New Roman"/>
          <w:sz w:val="18"/>
          <w:szCs w:val="18"/>
          <w:color w:val="auto"/>
        </w:rPr>
      </w:pPr>
    </w:p>
    <w:p>
      <w:pPr>
        <w:ind w:left="-20" w:right="560" w:firstLine="1428"/>
        <w:spacing w:after="0" w:line="282" w:lineRule="auto"/>
        <w:tabs>
          <w:tab w:leader="none" w:pos="17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lease in any material respect or amend the terms of any existing lease of real property (other than any renewal in the ordinary course of business consistent with the existing terms of such lease other than reasonable increases in pricing terms);</w:t>
      </w:r>
    </w:p>
    <w:p>
      <w:pPr>
        <w:spacing w:after="0" w:line="161" w:lineRule="exact"/>
        <w:rPr>
          <w:rFonts w:ascii="Times New Roman" w:cs="Times New Roman" w:eastAsia="Times New Roman" w:hAnsi="Times New Roman"/>
          <w:sz w:val="18"/>
          <w:szCs w:val="18"/>
          <w:color w:val="auto"/>
        </w:rPr>
      </w:pPr>
    </w:p>
    <w:p>
      <w:pPr>
        <w:jc w:val="both"/>
        <w:ind w:left="-20" w:firstLine="1428"/>
        <w:spacing w:after="0" w:line="266" w:lineRule="auto"/>
        <w:tabs>
          <w:tab w:leader="none" w:pos="18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sell, lease, license, sublicense, modify, terminate, abandon or permit to lapse, transfer or dispose of, create or incur any Lien (other than a Permitted Lien) on, or otherwise fail to take any action reasonably necessary to maintain, enforce or protect, any Company Intellectual Property;</w:t>
      </w:r>
    </w:p>
    <w:p>
      <w:pPr>
        <w:spacing w:after="0" w:line="175" w:lineRule="exact"/>
        <w:rPr>
          <w:rFonts w:ascii="Times New Roman" w:cs="Times New Roman" w:eastAsia="Times New Roman" w:hAnsi="Times New Roman"/>
          <w:sz w:val="18"/>
          <w:szCs w:val="18"/>
          <w:color w:val="auto"/>
        </w:rPr>
      </w:pPr>
    </w:p>
    <w:p>
      <w:pPr>
        <w:ind w:left="-20" w:right="600" w:firstLine="1428"/>
        <w:spacing w:after="0" w:line="282" w:lineRule="auto"/>
        <w:tabs>
          <w:tab w:leader="none" w:pos="18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withdraw, terminate, suspend, abrogate, amend or modify in any material respect any material Permits of the Company and its Subsidiaries in a manner adverse to the business of the Company and its Subsidiaries;</w:t>
      </w:r>
    </w:p>
    <w:p>
      <w:pPr>
        <w:spacing w:after="0" w:line="161" w:lineRule="exact"/>
        <w:rPr>
          <w:rFonts w:ascii="Times New Roman" w:cs="Times New Roman" w:eastAsia="Times New Roman" w:hAnsi="Times New Roman"/>
          <w:sz w:val="18"/>
          <w:szCs w:val="18"/>
          <w:color w:val="auto"/>
        </w:rPr>
      </w:pPr>
    </w:p>
    <w:p>
      <w:pPr>
        <w:ind w:left="-20" w:right="140" w:firstLine="1428"/>
        <w:spacing w:after="0" w:line="266" w:lineRule="auto"/>
        <w:tabs>
          <w:tab w:leader="none" w:pos="19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w:t>
      </w:r>
    </w:p>
    <w:p>
      <w:pPr>
        <w:spacing w:after="0" w:line="175" w:lineRule="exact"/>
        <w:rPr>
          <w:rFonts w:ascii="Times New Roman" w:cs="Times New Roman" w:eastAsia="Times New Roman" w:hAnsi="Times New Roman"/>
          <w:sz w:val="18"/>
          <w:szCs w:val="18"/>
          <w:color w:val="auto"/>
        </w:rPr>
      </w:pPr>
    </w:p>
    <w:p>
      <w:pPr>
        <w:ind w:left="1900" w:hanging="492"/>
        <w:spacing w:after="0"/>
        <w:tabs>
          <w:tab w:leader="none" w:pos="1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sale-leaseback or similar transaction with respect to the Owned Real Property;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60" w:top="270" w:right="459" w:bottom="1440" w:gutter="0" w:footer="0" w:header="0"/>
        </w:sectPr>
      </w:pPr>
    </w:p>
    <w:bookmarkStart w:id="58" w:name="page59"/>
    <w:bookmarkEnd w:id="58"/>
    <w:p>
      <w:pPr>
        <w:ind w:firstLine="1428"/>
        <w:spacing w:after="0" w:line="266" w:lineRule="auto"/>
        <w:tabs>
          <w:tab w:leader="none" w:pos="18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 in any transaction with, or enter into any agreement, arrangement or understanding with, any Affiliate of the Company or other Person covered by Item 404 of Regulation S-K promulgated by the SEC, in each case, that would be required to be disclosed pursuant to Item 404;</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9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of complete or partial liquidation, dissolution, restructuring, recapitalization or other reorganization other than such transactions among wholly owned Subsidiaries of the Company; or</w:t>
      </w:r>
    </w:p>
    <w:p>
      <w:pPr>
        <w:spacing w:after="0" w:line="161" w:lineRule="exact"/>
        <w:rPr>
          <w:rFonts w:ascii="Times New Roman" w:cs="Times New Roman" w:eastAsia="Times New Roman" w:hAnsi="Times New Roman"/>
          <w:sz w:val="18"/>
          <w:szCs w:val="18"/>
          <w:color w:val="auto"/>
        </w:rPr>
      </w:pPr>
    </w:p>
    <w:p>
      <w:pPr>
        <w:ind w:left="1960" w:hanging="532"/>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or agree to take any of, the foregoing actions.</w:t>
      </w:r>
    </w:p>
    <w:p>
      <w:pPr>
        <w:spacing w:after="0" w:line="225"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Agreement, including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nothing in this Agreement shall be construed to give Parent, directly or indirectly, the right to control or direct the operations, business, or affairs of the Company or any of its Subsidiaries prior to the Closing.</w:t>
      </w:r>
    </w:p>
    <w:p>
      <w:pPr>
        <w:spacing w:after="0" w:line="140" w:lineRule="exact"/>
        <w:rPr>
          <w:sz w:val="20"/>
          <w:szCs w:val="20"/>
          <w:color w:val="auto"/>
        </w:rPr>
      </w:pPr>
    </w:p>
    <w:p>
      <w:pPr>
        <w:ind w:right="20" w:firstLine="987"/>
        <w:spacing w:after="0" w:line="266"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by Parent</w:t>
      </w:r>
      <w:r>
        <w:rPr>
          <w:rFonts w:ascii="Times New Roman" w:cs="Times New Roman" w:eastAsia="Times New Roman" w:hAnsi="Times New Roman"/>
          <w:sz w:val="18"/>
          <w:szCs w:val="18"/>
          <w:color w:val="auto"/>
        </w:rPr>
        <w:t xml:space="preserve">. During the period from the date of this Agreement to the Effective Time, except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w:t>
      </w:r>
    </w:p>
    <w:p>
      <w:pPr>
        <w:spacing w:after="0" w:line="175" w:lineRule="exact"/>
        <w:rPr>
          <w:rFonts w:ascii="Times New Roman" w:cs="Times New Roman" w:eastAsia="Times New Roman" w:hAnsi="Times New Roman"/>
          <w:sz w:val="18"/>
          <w:szCs w:val="18"/>
          <w:color w:val="auto"/>
        </w:rPr>
      </w:pPr>
    </w:p>
    <w:p>
      <w:pPr>
        <w:ind w:right="180" w:firstLine="1428"/>
        <w:spacing w:after="0" w:line="266" w:lineRule="auto"/>
        <w:tabs>
          <w:tab w:leader="none" w:pos="164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or pay any extraordinary dividends or distributions in respect of, any of its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w:t>
      </w:r>
    </w:p>
    <w:p>
      <w:pPr>
        <w:spacing w:after="0" w:line="175" w:lineRule="exact"/>
        <w:rPr>
          <w:rFonts w:ascii="Times New Roman" w:cs="Times New Roman" w:eastAsia="Times New Roman" w:hAnsi="Times New Roman"/>
          <w:sz w:val="18"/>
          <w:szCs w:val="18"/>
          <w:color w:val="auto"/>
        </w:rPr>
      </w:pPr>
    </w:p>
    <w:p>
      <w:pPr>
        <w:ind w:right="640" w:firstLine="1428"/>
        <w:spacing w:after="0" w:line="266" w:lineRule="auto"/>
        <w:tabs>
          <w:tab w:leader="none" w:pos="169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w:t>
      </w:r>
    </w:p>
    <w:p>
      <w:pPr>
        <w:spacing w:after="0" w:line="175" w:lineRule="exact"/>
        <w:rPr>
          <w:rFonts w:ascii="Times New Roman" w:cs="Times New Roman" w:eastAsia="Times New Roman" w:hAnsi="Times New Roman"/>
          <w:sz w:val="18"/>
          <w:szCs w:val="18"/>
          <w:color w:val="auto"/>
        </w:rPr>
      </w:pPr>
    </w:p>
    <w:p>
      <w:pPr>
        <w:ind w:right="420" w:firstLine="1428"/>
        <w:spacing w:after="0" w:line="282" w:lineRule="auto"/>
        <w:tabs>
          <w:tab w:leader="none" w:pos="174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0" w:firstLine="1428"/>
        <w:spacing w:after="0" w:line="282" w:lineRule="auto"/>
        <w:tabs>
          <w:tab w:leader="none" w:pos="173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 plan of complete or partial liquidation, dissolution, restructuring, recapitalization or other reorganization other than such transactions among wholly owned Subsidiaries of Parent; or</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or agree to take any of, the foregoing actions.</w:t>
      </w:r>
    </w:p>
    <w:p>
      <w:pPr>
        <w:spacing w:after="0" w:line="225"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to the Effective Time, except as specifically required by this Agreement or applicable Law, Parent shall not, and shall not permit any of its Subsidiaries to, without the Company’s prior written consent (such consent not to be unreasonably withheld, conditioned or delayed) take any of the actions set forth on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of the Parent Disclosure Letter.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59" w:name="page60"/>
    <w:bookmarkEnd w:id="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by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Merger Sub acknowledge and agree that any determination or action by the Company or the Company Board in accordance with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shall not be deemed to be a breach or violation of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5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5.2(c)</w:t>
      </w:r>
      <w:r>
        <w:rPr>
          <w:rFonts w:ascii="Times New Roman" w:cs="Times New Roman" w:eastAsia="Times New Roman" w:hAnsi="Times New Roman"/>
          <w:sz w:val="17"/>
          <w:szCs w:val="17"/>
          <w:color w:val="auto"/>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w:t>
      </w:r>
    </w:p>
    <w:p>
      <w:pPr>
        <w:spacing w:after="0" w:line="4" w:lineRule="exact"/>
        <w:rPr>
          <w:rFonts w:ascii="Times New Roman" w:cs="Times New Roman" w:eastAsia="Times New Roman" w:hAnsi="Times New Roman"/>
          <w:sz w:val="17"/>
          <w:szCs w:val="17"/>
          <w:color w:val="auto"/>
        </w:rPr>
      </w:pPr>
    </w:p>
    <w:p>
      <w:pPr>
        <w:ind w:left="4"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w:t>
      </w:r>
    </w:p>
    <w:p>
      <w:pPr>
        <w:spacing w:after="0" w:line="188" w:lineRule="exact"/>
        <w:rPr>
          <w:rFonts w:ascii="Times New Roman" w:cs="Times New Roman" w:eastAsia="Times New Roman" w:hAnsi="Times New Roman"/>
          <w:sz w:val="17"/>
          <w:szCs w:val="17"/>
          <w:color w:val="auto"/>
        </w:rPr>
      </w:pPr>
    </w:p>
    <w:p>
      <w:pPr>
        <w:ind w:left="4" w:right="60" w:firstLine="987"/>
        <w:spacing w:after="0" w:line="269" w:lineRule="auto"/>
        <w:tabs>
          <w:tab w:leader="none" w:pos="124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of the foregoing, if prior to the Company’s receipt of the duly executed Written Consent, the Company receives a bona fide unsolicited Acquisition Proposal from a Person that did not result from a breach of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5.2(b)</w:t>
      </w:r>
      <w:r>
        <w:rPr>
          <w:rFonts w:ascii="Times New Roman" w:cs="Times New Roman" w:eastAsia="Times New Roman" w:hAnsi="Times New Roman"/>
          <w:sz w:val="17"/>
          <w:szCs w:val="17"/>
          <w:color w:val="auto"/>
        </w:rPr>
        <w:t>,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w:t>
      </w:r>
    </w:p>
    <w:p>
      <w:pPr>
        <w:spacing w:after="0" w:line="2"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information or access has previously been made available to Parent (or shall be made available to Parent) prior to, or substantially concurrent with (and in any event within 48 hours of), the time such information is made available to such Person.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0" w:name="page61"/>
    <w:bookmarkEnd w:id="60"/>
    <w:p>
      <w:pPr>
        <w:ind w:left="4" w:right="20" w:firstLine="987"/>
        <w:spacing w:after="0" w:line="253" w:lineRule="auto"/>
        <w:tabs>
          <w:tab w:leader="none" w:pos="12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ind w:left="4" w:right="280" w:firstLine="1428"/>
        <w:spacing w:after="0" w:line="272" w:lineRule="auto"/>
        <w:tabs>
          <w:tab w:leader="none" w:pos="1651"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w:t>
      </w:r>
    </w:p>
    <w:p>
      <w:pPr>
        <w:spacing w:after="0" w:line="186" w:lineRule="exact"/>
        <w:rPr>
          <w:rFonts w:ascii="Times New Roman" w:cs="Times New Roman" w:eastAsia="Times New Roman" w:hAnsi="Times New Roman"/>
          <w:sz w:val="18"/>
          <w:szCs w:val="18"/>
          <w:color w:val="auto"/>
        </w:rPr>
      </w:pPr>
    </w:p>
    <w:p>
      <w:pPr>
        <w:ind w:left="4" w:right="140" w:firstLine="1428"/>
        <w:spacing w:after="0" w:line="256" w:lineRule="auto"/>
        <w:tabs>
          <w:tab w:leader="none" w:pos="1701"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4"/>
          </w:cols>
          <w:pgMar w:left="436" w:top="270" w:right="499" w:bottom="1440" w:gutter="0" w:footer="0" w:header="0"/>
        </w:sectPr>
      </w:pPr>
    </w:p>
    <w:bookmarkStart w:id="61" w:name="page62"/>
    <w:bookmarkEnd w:id="61"/>
    <w:p>
      <w:pPr>
        <w:ind w:left="-20" w:right="60" w:firstLine="1428"/>
        <w:spacing w:after="0" w:line="255" w:lineRule="auto"/>
        <w:tabs>
          <w:tab w:leader="none" w:pos="17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987"/>
        <w:spacing w:after="0" w:line="254"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permitted by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 (ii) cause or permit the Company or any of its Subsidiaries to enter into any letter of intent, acquisition agreement or other agreement in principle related to an Acquisition Proposal.</w:t>
      </w:r>
    </w:p>
    <w:p>
      <w:pPr>
        <w:spacing w:after="0" w:line="191"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until the earlier to occur of the termination of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the Company’s receipt of the duly executed Written Consent, if in response to an Acquisition Proposal that the Company considers in accordance with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the Company Board determines that such Acquisition Proposal is a Superior Proposal, then, subject to the remainder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60" w:top="270" w:right="47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Preparation of Form S-4, Information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in which the information statement constituting a part thereof relating to the Written Consent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w:t>
      </w:r>
    </w:p>
    <w:p>
      <w:pPr>
        <w:spacing w:after="0" w:line="19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3" w:name="page64"/>
    <w:bookmarkEnd w:id="6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delivery of such notice and the filing of any such amendment or supplement shall not affect or be deemed to modify any representation or warranty made by any Party or otherwise affect the remedies available hereunder to any Party.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61"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w:t>
      </w:r>
    </w:p>
    <w:p>
      <w:pPr>
        <w:spacing w:after="0" w:line="179"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No investigation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information provided, made available or delivered to Parent pursuant to this Agreement shall affect any of the representations, warranties, covenants, rights or remedies, or the conditions to the obligations of, the Company.</w:t>
      </w:r>
    </w:p>
    <w:p>
      <w:pPr>
        <w:spacing w:after="0" w:line="18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Written Consent &amp; Support Agreement</w:t>
      </w:r>
      <w:r>
        <w:rPr>
          <w:rFonts w:ascii="Times New Roman" w:cs="Times New Roman" w:eastAsia="Times New Roman" w:hAnsi="Times New Roman"/>
          <w:sz w:val="18"/>
          <w:szCs w:val="18"/>
          <w:color w:val="auto"/>
        </w:rPr>
        <w:t xml:space="preserve">. Immediately after the execution of this Agreement and in lieu of calling a meeting of the Company’s stockholders, the Company shall submit the form of Written Consent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 w:cs="Times New Roman" w:eastAsia="Times New Roman" w:hAnsi="Times New Roman"/>
          <w:sz w:val="18"/>
          <w:szCs w:val="18"/>
          <w:u w:val="single" w:color="auto"/>
          <w:color w:val="auto"/>
        </w:rPr>
        <w:t>Consent Time</w:t>
      </w:r>
      <w:r>
        <w:rPr>
          <w:rFonts w:ascii="Times New Roman" w:cs="Times New Roman" w:eastAsia="Times New Roman" w:hAnsi="Times New Roman"/>
          <w:sz w:val="18"/>
          <w:szCs w:val="18"/>
          <w:color w:val="auto"/>
        </w:rPr>
        <w:t>”).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Merger Sub Sole Stockholder Consent</w:t>
      </w:r>
      <w:r>
        <w:rPr>
          <w:rFonts w:ascii="Times New Roman" w:cs="Times New Roman" w:eastAsia="Times New Roman" w:hAnsi="Times New Roman"/>
          <w:sz w:val="18"/>
          <w:szCs w:val="18"/>
          <w:color w:val="auto"/>
        </w:rPr>
        <w:t>.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5.8 </w:t>
      </w:r>
      <w:r>
        <w:rPr>
          <w:rFonts w:ascii="Times New Roman" w:cs="Times New Roman" w:eastAsia="Times New Roman" w:hAnsi="Times New Roman"/>
          <w:sz w:val="18"/>
          <w:szCs w:val="18"/>
          <w:u w:val="single" w:color="auto"/>
          <w:color w:val="auto"/>
        </w:rPr>
        <w:t>Regulatory Approval;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 xml:space="preserve">, in the event of any disagreement between Parent and the Company regarding the strategy, timing, or substance of any filing, submission, or communication contemplated by this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5" w:name="page66"/>
    <w:bookmarkEnd w:id="65"/>
    <w:p>
      <w:pPr>
        <w:ind w:firstLine="987"/>
        <w:spacing w:after="0" w:line="251"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Parent and the Company shall use its reasonable best efforts to resolve such objections, if any, as may be asserted with respect to the Transactions under any applicable Law. Without limiting the foregoing, the Company and Parent shall, (i) as soon as practicable, and in any event within 10 Business Days, file Notification and Report Forms under the HSR Act with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and the Antitrust Division of the United States Department of Justice (the “</w:t>
      </w:r>
      <w:r>
        <w:rPr>
          <w:rFonts w:ascii="Times New Roman" w:cs="Times New Roman" w:eastAsia="Times New Roman" w:hAnsi="Times New Roman"/>
          <w:sz w:val="18"/>
          <w:szCs w:val="18"/>
          <w:u w:val="single" w:color="auto"/>
          <w:color w:val="auto"/>
        </w:rPr>
        <w:t>Antitrust Division</w:t>
      </w:r>
      <w:r>
        <w:rPr>
          <w:rFonts w:ascii="Times New Roman" w:cs="Times New Roman" w:eastAsia="Times New Roman" w:hAnsi="Times New Roman"/>
          <w:sz w:val="18"/>
          <w:szCs w:val="18"/>
          <w:color w:val="auto"/>
        </w:rPr>
        <w:t>”)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w:t>
      </w:r>
    </w:p>
    <w:p>
      <w:pPr>
        <w:spacing w:after="0" w:line="205"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after the Effective Time any further action is necessary or desirable to carry out the purposes of this Agreement, the proper officers and/or directors of the Surviving Corporation shall take or cause to be taken all such necessary action.</w:t>
      </w:r>
    </w:p>
    <w:p>
      <w:pPr>
        <w:spacing w:after="0" w:line="161"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but subject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6" w:name="page67"/>
    <w:bookmarkEnd w:id="66"/>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notification shall affect any of the representations, warranties, covenants, rights or remedies, or the conditions to the obligations of, the Parties.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Indemnification, Exculpation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agree that all rights to indemnification, advancement and exculpation existing in favor of the current or former directors and officers of the Company or any of its Subsidiaries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of the Company Disclosure Letter, for the Company’s current policies of directors’ and officers’ liability insurance and fiduciary liability insurance (the “</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7" w:name="page68"/>
    <w:bookmarkEnd w:id="67"/>
    <w:p>
      <w:pPr>
        <w:ind w:right="60" w:firstLine="987"/>
        <w:spacing w:after="0" w:line="261"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not be terminated or modified in such a manner as to adversely affect any indemnified party unless the affected indemnified party shall have consented in writing to such termination or modification.</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Indemnified Parties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Stock Exchange; Deregistration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66"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use its reasonable best efforts to cause the Parent Ordinary Shares to be issued in the Merger or in connection with the Merger (including in respect of Assumed RSUs, Assumed Options and Assumed PSUs)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approved for listing on Nasdaq Global Select prior to the Effective Time.</w:t>
      </w:r>
    </w:p>
    <w:p>
      <w:pPr>
        <w:spacing w:after="0" w:line="17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68" w:name="page69"/>
    <w:bookmarkEnd w:id="6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listing agreement with any national securities exchange or national securities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For the avoidance of doubt, nothing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w:t>
      </w:r>
    </w:p>
    <w:p>
      <w:pPr>
        <w:spacing w:after="0" w:line="5" w:lineRule="exact"/>
        <w:rPr>
          <w:sz w:val="20"/>
          <w:szCs w:val="20"/>
          <w:color w:val="auto"/>
        </w:rPr>
      </w:pPr>
    </w:p>
    <w:p>
      <w:pPr>
        <w:ind w:left="4" w:hanging="4"/>
        <w:spacing w:after="0" w:line="253"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The press release announcing the execution and delivery of this Agreement shall be a joint release of Parent and the Company, and shall not be issued prior to the approval of each of, the Company and Parent.</w:t>
      </w:r>
    </w:p>
    <w:p>
      <w:pPr>
        <w:spacing w:after="0" w:line="189"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5.15 </w:t>
      </w:r>
      <w:r>
        <w:rPr>
          <w:rFonts w:ascii="Times New Roman" w:cs="Times New Roman" w:eastAsia="Times New Roman" w:hAnsi="Times New Roman"/>
          <w:sz w:val="17"/>
          <w:szCs w:val="17"/>
          <w:u w:val="single" w:color="auto"/>
          <w:color w:val="auto"/>
        </w:rPr>
        <w:t>Section 16 Matters</w:t>
      </w:r>
      <w:r>
        <w:rPr>
          <w:rFonts w:ascii="Times New Roman" w:cs="Times New Roman" w:eastAsia="Times New Roman" w:hAnsi="Times New Roman"/>
          <w:sz w:val="17"/>
          <w:szCs w:val="17"/>
          <w:color w:val="auto"/>
        </w:rPr>
        <w:t>.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4"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12 month period following the Effective Time, Parent shall, or shall cause its Affiliates to, provide each employee of the Company or its Subsidiaries as of immediately prior to the Effective Time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69" w:name="page70"/>
    <w:bookmarkEnd w:id="69"/>
    <w:p>
      <w:pPr>
        <w:ind w:left="4" w:right="40" w:firstLine="987"/>
        <w:spacing w:after="0" w:line="267" w:lineRule="auto"/>
        <w:tabs>
          <w:tab w:leader="none" w:pos="125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w:t>
      </w:r>
    </w:p>
    <w:p>
      <w:pPr>
        <w:spacing w:after="0" w:line="5" w:lineRule="exact"/>
        <w:rPr>
          <w:rFonts w:ascii="Times New Roman" w:cs="Times New Roman" w:eastAsia="Times New Roman" w:hAnsi="Times New Roman"/>
          <w:sz w:val="17"/>
          <w:szCs w:val="17"/>
          <w:color w:val="auto"/>
        </w:rPr>
      </w:pPr>
    </w:p>
    <w:p>
      <w:pPr>
        <w:ind w:left="4" w:hanging="4"/>
        <w:spacing w:after="0" w:line="253" w:lineRule="auto"/>
        <w:tabs>
          <w:tab w:leader="none" w:pos="2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w:t>
      </w:r>
    </w:p>
    <w:p>
      <w:pPr>
        <w:spacing w:after="0" w:line="186"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prior service shall be taken into account to the extent it would result in the duplication of benefits.</w:t>
      </w:r>
    </w:p>
    <w:p>
      <w:pPr>
        <w:spacing w:after="0" w:line="187"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0" w:name="page71"/>
    <w:bookmarkEnd w:id="70"/>
    <w:p>
      <w:pPr>
        <w:ind w:firstLine="987"/>
        <w:spacing w:after="0" w:line="25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 w:cs="Times New Roman" w:eastAsia="Times New Roman" w:hAnsi="Times New Roman"/>
          <w:sz w:val="18"/>
          <w:szCs w:val="18"/>
          <w:u w:val="single" w:color="auto"/>
          <w:color w:val="auto"/>
        </w:rPr>
        <w:t>401(k) Plans</w:t>
      </w:r>
      <w:r>
        <w:rPr>
          <w:rFonts w:ascii="Times New Roman" w:cs="Times New Roman" w:eastAsia="Times New Roman" w:hAnsi="Times New Roman"/>
          <w:sz w:val="18"/>
          <w:szCs w:val="18"/>
          <w:color w:val="auto"/>
        </w:rPr>
        <w:t xml:space="preserve">”) in compliance with such 401(k) Plan’s terms and the requirements of applicable Law, (ii) make all 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 w:cs="Times New Roman" w:eastAsia="Times New Roman" w:hAnsi="Times New Roman"/>
          <w:sz w:val="18"/>
          <w:szCs w:val="18"/>
          <w:u w:val="single" w:color="auto"/>
          <w:color w:val="auto"/>
        </w:rPr>
        <w:t>Section 5.16(e)</w:t>
      </w:r>
      <w:r>
        <w:rPr>
          <w:rFonts w:ascii="Times New Roman" w:cs="Times New Roman" w:eastAsia="Times New Roman" w:hAnsi="Times New Roman"/>
          <w:sz w:val="18"/>
          <w:szCs w:val="18"/>
          <w:color w:val="auto"/>
        </w:rPr>
        <w:t xml:space="preserve">, each Continuing Employee shall be eligible to participate in a defined contribution plan that is qualified under Section 401(a) of the Code (subject to the eligibility requirements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5.16(d)</w:t>
      </w:r>
      <w:r>
        <w:rPr>
          <w:rFonts w:ascii="Times New Roman" w:cs="Times New Roman" w:eastAsia="Times New Roman" w:hAnsi="Times New Roman"/>
          <w:sz w:val="18"/>
          <w:szCs w:val="18"/>
          <w:color w:val="auto"/>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w:t>
      </w:r>
    </w:p>
    <w:p>
      <w:pPr>
        <w:spacing w:after="0" w:line="197" w:lineRule="exact"/>
        <w:rPr>
          <w:rFonts w:ascii="Times New Roman" w:cs="Times New Roman" w:eastAsia="Times New Roman" w:hAnsi="Times New Roman"/>
          <w:sz w:val="18"/>
          <w:szCs w:val="18"/>
          <w:color w:val="auto"/>
        </w:rPr>
      </w:pPr>
    </w:p>
    <w:p>
      <w:pPr>
        <w:ind w:right="100" w:firstLine="987"/>
        <w:spacing w:after="0" w:line="254"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Equity Consideration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1" w:name="page72"/>
    <w:bookmarkEnd w:id="71"/>
    <w:p>
      <w:pPr>
        <w:ind w:left="4"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w:t>
      </w:r>
    </w:p>
    <w:p>
      <w:pPr>
        <w:spacing w:after="0" w:line="158" w:lineRule="exact"/>
        <w:rPr>
          <w:sz w:val="20"/>
          <w:szCs w:val="20"/>
          <w:color w:val="auto"/>
        </w:rPr>
      </w:pPr>
    </w:p>
    <w:p>
      <w:pPr>
        <w:ind w:left="4" w:right="60" w:firstLine="987"/>
        <w:spacing w:after="0" w:line="253"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w:t>
      </w:r>
    </w:p>
    <w:p>
      <w:pPr>
        <w:spacing w:after="0" w:line="194"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w:t>
      </w:r>
    </w:p>
    <w:p>
      <w:pPr>
        <w:spacing w:after="0" w:line="188"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w:t>
      </w:r>
    </w:p>
    <w:p>
      <w:pPr>
        <w:spacing w:after="0" w:line="175" w:lineRule="exact"/>
        <w:rPr>
          <w:rFonts w:ascii="Times New Roman" w:cs="Times New Roman" w:eastAsia="Times New Roman" w:hAnsi="Times New Roman"/>
          <w:sz w:val="18"/>
          <w:szCs w:val="18"/>
          <w:color w:val="auto"/>
        </w:rPr>
      </w:pPr>
    </w:p>
    <w:p>
      <w:pPr>
        <w:ind w:left="4" w:right="320" w:firstLine="987"/>
        <w:spacing w:after="0" w:line="276" w:lineRule="auto"/>
        <w:tabs>
          <w:tab w:leader="none" w:pos="12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Closing Date and until the date on which all Registrable Securities covered by such Registration Statement have been sold, Parent shall use its commercially reasonable efforts to (a) maintain the listing of the Parent Ordinary Shares on Nasdaq Global Select,</w:t>
      </w:r>
    </w:p>
    <w:p>
      <w:pPr>
        <w:ind w:left="4" w:right="140" w:hanging="4"/>
        <w:spacing w:after="0" w:line="260"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listing and maintenance requirements of Nasdaq Global Select, (c) timely file all reports required to be filed with the SEC pursuant to the Exchange Act, (d) remain in compliance with the current public</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72" w:name="page73"/>
    <w:bookmarkEnd w:id="7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w:t>
      </w:r>
    </w:p>
    <w:p>
      <w:pPr>
        <w:spacing w:after="0" w:line="183" w:lineRule="exact"/>
        <w:rPr>
          <w:sz w:val="20"/>
          <w:szCs w:val="20"/>
          <w:color w:val="auto"/>
        </w:rPr>
      </w:pPr>
    </w:p>
    <w:p>
      <w:pPr>
        <w:ind w:right="40" w:firstLine="987"/>
        <w:spacing w:after="0" w:line="281" w:lineRule="auto"/>
        <w:tabs>
          <w:tab w:leader="none" w:pos="1216"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w:t>
      </w:r>
    </w:p>
    <w:p>
      <w:pPr>
        <w:spacing w:after="0" w:line="164" w:lineRule="exact"/>
        <w:rPr>
          <w:rFonts w:ascii="Times New Roman" w:cs="Times New Roman" w:eastAsia="Times New Roman" w:hAnsi="Times New Roman"/>
          <w:sz w:val="17"/>
          <w:szCs w:val="17"/>
          <w:color w:val="auto"/>
        </w:rPr>
      </w:pPr>
    </w:p>
    <w:p>
      <w:pPr>
        <w:ind w:right="20" w:firstLine="987"/>
        <w:spacing w:after="0" w:line="256"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w:t>
      </w:r>
    </w:p>
    <w:p>
      <w:pPr>
        <w:spacing w:after="0" w:line="179" w:lineRule="exact"/>
        <w:rPr>
          <w:rFonts w:ascii="Times New Roman" w:cs="Times New Roman" w:eastAsia="Times New Roman" w:hAnsi="Times New Roman"/>
          <w:sz w:val="18"/>
          <w:szCs w:val="18"/>
          <w:color w:val="auto"/>
        </w:rPr>
      </w:pPr>
    </w:p>
    <w:p>
      <w:pPr>
        <w:ind w:right="400" w:firstLine="987"/>
        <w:spacing w:after="0" w:line="266" w:lineRule="auto"/>
        <w:tabs>
          <w:tab w:leader="none" w:pos="1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acknowledges that there shall be no transfer restrictions (other than transfer restrictions arising under applicable securities Laws) with respect to the Parent Ordinary Shares issued to each Specified Stockholder.</w:t>
      </w:r>
    </w:p>
    <w:p>
      <w:pPr>
        <w:spacing w:after="0" w:line="161"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 w:cs="Times New Roman" w:eastAsia="Times New Roman" w:hAnsi="Times New Roman"/>
          <w:sz w:val="18"/>
          <w:szCs w:val="18"/>
          <w:u w:val="single" w:color="auto"/>
          <w:color w:val="auto"/>
        </w:rPr>
        <w:t>Specified Stockholder 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Specified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any and all losses, claims, damages or liabilities, joint or several,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3" w:name="page74"/>
    <w:bookmarkEnd w:id="73"/>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 w:cs="Times New Roman" w:eastAsia="Times New Roman" w:hAnsi="Times New Roman"/>
          <w:sz w:val="18"/>
          <w:szCs w:val="18"/>
          <w:u w:val="single" w:color="auto"/>
          <w:color w:val="auto"/>
        </w:rPr>
        <w:t>Specified Stockholder Claims</w:t>
      </w:r>
      <w:r>
        <w:rPr>
          <w:rFonts w:ascii="Times New Roman" w:cs="Times New Roman" w:eastAsia="Times New Roman" w:hAnsi="Times New Roman"/>
          <w:sz w:val="18"/>
          <w:szCs w:val="18"/>
          <w:color w:val="auto"/>
        </w:rPr>
        <w:t>”):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w:t>
      </w:r>
    </w:p>
    <w:p>
      <w:pPr>
        <w:spacing w:after="0" w:line="193" w:lineRule="exact"/>
        <w:rPr>
          <w:sz w:val="20"/>
          <w:szCs w:val="20"/>
          <w:color w:val="auto"/>
        </w:rPr>
      </w:pPr>
    </w:p>
    <w:p>
      <w:pPr>
        <w:ind w:firstLine="987"/>
        <w:spacing w:after="0" w:line="252" w:lineRule="auto"/>
        <w:tabs>
          <w:tab w:leader="none" w:pos="12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Specified Stockholder shall, severally and not jointly, indemnify and hold harmless (in the same manner and to the same extent as set forth in </w:t>
      </w:r>
      <w:r>
        <w:rPr>
          <w:rFonts w:ascii="Times New Roman" w:cs="Times New Roman" w:eastAsia="Times New Roman" w:hAnsi="Times New Roman"/>
          <w:sz w:val="18"/>
          <w:szCs w:val="18"/>
          <w:u w:val="single" w:color="auto"/>
          <w:color w:val="auto"/>
        </w:rPr>
        <w:t>Section 5.17(k)</w:t>
      </w:r>
      <w:r>
        <w:rPr>
          <w:rFonts w:ascii="Times New Roman" w:cs="Times New Roman" w:eastAsia="Times New Roman" w:hAnsi="Times New Roman"/>
          <w:sz w:val="18"/>
          <w:szCs w:val="18"/>
          <w:color w:val="auto"/>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 w:cs="Times New Roman" w:eastAsia="Times New Roman" w:hAnsi="Times New Roman"/>
          <w:sz w:val="18"/>
          <w:szCs w:val="18"/>
          <w:u w:val="single" w:color="auto"/>
          <w:color w:val="auto"/>
        </w:rPr>
        <w:t>Section 5.17(l)</w:t>
      </w:r>
      <w:r>
        <w:rPr>
          <w:rFonts w:ascii="Times New Roman" w:cs="Times New Roman" w:eastAsia="Times New Roman" w:hAnsi="Times New Roman"/>
          <w:sz w:val="18"/>
          <w:szCs w:val="18"/>
          <w:color w:val="auto"/>
        </w:rPr>
        <w:t xml:space="preserve"> shall in no case be greater than the amount of the net proceeds actually received by such Specified Stockholder 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4" w:name="page75"/>
    <w:bookmarkEnd w:id="7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Treatment of Company Indebtedness</w:t>
      </w:r>
      <w:r>
        <w:rPr>
          <w:rFonts w:ascii="Times New Roman" w:cs="Times New Roman" w:eastAsia="Times New Roman" w:hAnsi="Times New Roman"/>
          <w:sz w:val="18"/>
          <w:szCs w:val="18"/>
          <w:color w:val="auto"/>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Assignment by Parent</w:t>
      </w:r>
      <w:r>
        <w:rPr>
          <w:rFonts w:ascii="Times New Roman" w:cs="Times New Roman" w:eastAsia="Times New Roman" w:hAnsi="Times New Roman"/>
          <w:sz w:val="18"/>
          <w:szCs w:val="18"/>
          <w:color w:val="auto"/>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and cause US Parent to assume this Agreement (including all of Parent’s rights, duties and obligations hereunder)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 w:cs="Times New Roman" w:eastAsia="Times New Roman" w:hAnsi="Times New Roman"/>
          <w:sz w:val="18"/>
          <w:szCs w:val="18"/>
          <w:u w:val="single" w:color="auto"/>
          <w:color w:val="auto"/>
        </w:rPr>
        <w:t>Novation</w:t>
      </w:r>
      <w:r>
        <w:rPr>
          <w:rFonts w:ascii="Times New Roman" w:cs="Times New Roman" w:eastAsia="Times New Roman" w:hAnsi="Times New Roman"/>
          <w:sz w:val="18"/>
          <w:szCs w:val="18"/>
          <w:color w:val="auto"/>
        </w:rPr>
        <w:t>”).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75" w:name="page76"/>
    <w:bookmarkEnd w:id="75"/>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5.20 </w:t>
      </w:r>
      <w:r>
        <w:rPr>
          <w:rFonts w:ascii="Times New Roman" w:cs="Times New Roman" w:eastAsia="Times New Roman" w:hAnsi="Times New Roman"/>
          <w:sz w:val="18"/>
          <w:szCs w:val="18"/>
          <w:u w:val="single" w:color="auto"/>
          <w:color w:val="auto"/>
        </w:rPr>
        <w:t>Tax Remittance</w:t>
      </w:r>
      <w:r>
        <w:rPr>
          <w:rFonts w:ascii="Times New Roman" w:cs="Times New Roman" w:eastAsia="Times New Roman" w:hAnsi="Times New Roman"/>
          <w:sz w:val="18"/>
          <w:szCs w:val="18"/>
          <w:color w:val="auto"/>
        </w:rPr>
        <w:t>.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obligation of each Party to effect the Merger is subject to the satisfaction at or prior to the Effective Time of the following conditions:</w:t>
      </w:r>
    </w:p>
    <w:p>
      <w:pPr>
        <w:spacing w:after="0" w:line="52" w:lineRule="exact"/>
        <w:rPr>
          <w:sz w:val="20"/>
          <w:szCs w:val="20"/>
          <w:color w:val="auto"/>
        </w:rPr>
      </w:pPr>
    </w:p>
    <w:p>
      <w:pPr>
        <w:ind w:right="480" w:firstLine="987"/>
        <w:spacing w:after="0" w:line="284"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Written Consent</w:t>
      </w:r>
      <w:r>
        <w:rPr>
          <w:rFonts w:ascii="Times New Roman" w:cs="Times New Roman" w:eastAsia="Times New Roman" w:hAnsi="Times New Roman"/>
          <w:sz w:val="18"/>
          <w:szCs w:val="18"/>
          <w:color w:val="auto"/>
        </w:rPr>
        <w:t>. The Written Consent shall have been obtained and delivered to the Company and shall not have been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withdrawn, terminated or revoked.</w:t>
      </w:r>
    </w:p>
    <w:p>
      <w:pPr>
        <w:spacing w:after="0" w:line="158"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Legal Restraints; Illegality</w:t>
      </w:r>
      <w:r>
        <w:rPr>
          <w:rFonts w:ascii="Times New Roman" w:cs="Times New Roman" w:eastAsia="Times New Roman" w:hAnsi="Times New Roman"/>
          <w:sz w:val="18"/>
          <w:szCs w:val="18"/>
          <w:color w:val="auto"/>
        </w:rPr>
        <w:t>. No temporary restraining order, preliminary or permanent injunction or other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w:t>
      </w:r>
    </w:p>
    <w:p>
      <w:pPr>
        <w:spacing w:after="0" w:line="179" w:lineRule="exact"/>
        <w:rPr>
          <w:rFonts w:ascii="Times New Roman" w:cs="Times New Roman" w:eastAsia="Times New Roman" w:hAnsi="Times New Roman"/>
          <w:sz w:val="18"/>
          <w:szCs w:val="18"/>
          <w:color w:val="auto"/>
        </w:rPr>
      </w:pPr>
    </w:p>
    <w:p>
      <w:pPr>
        <w:ind w:right="180" w:firstLine="987"/>
        <w:spacing w:after="0" w:line="267"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Any waiting period (and any extension thereof) applicable to the Transactions under the HSR Act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or shall have expired and the approvals or waiting period expirations, as the case may be, specified on Section 6.1(c) of the Company Disclosure Letter have occurred.</w:t>
      </w:r>
    </w:p>
    <w:p>
      <w:pPr>
        <w:spacing w:after="0" w:line="173" w:lineRule="exact"/>
        <w:rPr>
          <w:rFonts w:ascii="Times New Roman" w:cs="Times New Roman" w:eastAsia="Times New Roman" w:hAnsi="Times New Roman"/>
          <w:sz w:val="18"/>
          <w:szCs w:val="18"/>
          <w:color w:val="auto"/>
        </w:rPr>
      </w:pPr>
    </w:p>
    <w:p>
      <w:pPr>
        <w:ind w:right="240" w:firstLine="987"/>
        <w:spacing w:after="0" w:line="267"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 Global Select Listing</w:t>
      </w:r>
      <w:r>
        <w:rPr>
          <w:rFonts w:ascii="Times New Roman" w:cs="Times New Roman" w:eastAsia="Times New Roman" w:hAnsi="Times New Roman"/>
          <w:sz w:val="18"/>
          <w:szCs w:val="18"/>
          <w:color w:val="auto"/>
        </w:rPr>
        <w:t>. The Parent Ordinary Shares to be issued in the Merger or in connection with the Merger (including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Assumed RSUs, Assumed Options and Assumed PSUs) shall have been approved for listing on Nasdaq Global Select, subject to official notice of issuance.</w:t>
      </w:r>
    </w:p>
    <w:p>
      <w:pPr>
        <w:spacing w:after="0" w:line="173" w:lineRule="exact"/>
        <w:rPr>
          <w:rFonts w:ascii="Times New Roman" w:cs="Times New Roman" w:eastAsia="Times New Roman" w:hAnsi="Times New Roman"/>
          <w:sz w:val="18"/>
          <w:szCs w:val="18"/>
          <w:color w:val="auto"/>
        </w:rPr>
      </w:pPr>
    </w:p>
    <w:p>
      <w:pPr>
        <w:ind w:firstLine="987"/>
        <w:spacing w:after="0" w:line="284"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S-4</w:t>
      </w:r>
      <w:r>
        <w:rPr>
          <w:rFonts w:ascii="Times New Roman" w:cs="Times New Roman" w:eastAsia="Times New Roman" w:hAnsi="Times New Roman"/>
          <w:sz w:val="18"/>
          <w:szCs w:val="18"/>
          <w:color w:val="auto"/>
        </w:rPr>
        <w:t>. The Form S-4 shall have been declared effective by the SEC under the Securities Act and shall not be the subject of any stop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suspending the effectiveness of the Form S-4 and no Action seeking a stop order shall have been initiated or threatened by the SEC.</w:t>
      </w:r>
    </w:p>
    <w:p>
      <w:pPr>
        <w:spacing w:after="0" w:line="158" w:lineRule="exact"/>
        <w:rPr>
          <w:rFonts w:ascii="Times New Roman" w:cs="Times New Roman" w:eastAsia="Times New Roman" w:hAnsi="Times New Roman"/>
          <w:sz w:val="18"/>
          <w:szCs w:val="18"/>
          <w:color w:val="auto"/>
        </w:rPr>
      </w:pPr>
    </w:p>
    <w:p>
      <w:pPr>
        <w:ind w:right="320" w:firstLine="987"/>
        <w:spacing w:after="0" w:line="284" w:lineRule="auto"/>
        <w:tabs>
          <w:tab w:leader="none" w:pos="121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The Information Statement shall have been mailed to all holders of the Company Common Stock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the Form S-4 and at least 20 Business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-1009015</wp:posOffset>
            </wp:positionV>
            <wp:extent cx="28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the Obligations of Parent and Merger Sub</w:t>
      </w:r>
      <w:r>
        <w:rPr>
          <w:rFonts w:ascii="Times New Roman" w:cs="Times New Roman" w:eastAsia="Times New Roman" w:hAnsi="Times New Roman"/>
          <w:sz w:val="18"/>
          <w:szCs w:val="18"/>
          <w:color w:val="auto"/>
        </w:rPr>
        <w:t>. The obligation of Parent and Merger Sub to effect the Merger is also subject to the satisfaction, or waiver by Parent, at or prior to the Effective Time of the following conditions: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(i) Each of the representations and warranties of the Company set forth in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3.5(a)(i)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3.25</w:t>
      </w:r>
      <w:r>
        <w:rPr>
          <w:rFonts w:ascii="Times New Roman" w:cs="Times New Roman" w:eastAsia="Times New Roman" w:hAnsi="Times New Roman"/>
          <w:sz w:val="17"/>
          <w:szCs w:val="17"/>
          <w:color w:val="auto"/>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w:t>
      </w:r>
    </w:p>
    <w:p>
      <w:pPr>
        <w:spacing w:after="0" w:line="177" w:lineRule="exact"/>
        <w:rPr>
          <w:sz w:val="20"/>
          <w:szCs w:val="20"/>
          <w:color w:val="auto"/>
        </w:rPr>
      </w:pPr>
    </w:p>
    <w:p>
      <w:pPr>
        <w:ind w:right="80" w:firstLine="987"/>
        <w:spacing w:after="0" w:line="284"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of Obligations of the Company</w:t>
      </w:r>
      <w:r>
        <w:rPr>
          <w:rFonts w:ascii="Times New Roman" w:cs="Times New Roman" w:eastAsia="Times New Roman" w:hAnsi="Times New Roman"/>
          <w:sz w:val="18"/>
          <w:szCs w:val="18"/>
          <w:color w:val="auto"/>
        </w:rPr>
        <w:t>. The Company shall have performed in all material respects all obligations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it under this Agreement at or prior to the Effective Time.</w:t>
      </w:r>
    </w:p>
    <w:p>
      <w:pPr>
        <w:spacing w:after="0" w:line="158" w:lineRule="exact"/>
        <w:rPr>
          <w:rFonts w:ascii="Times New Roman" w:cs="Times New Roman" w:eastAsia="Times New Roman" w:hAnsi="Times New Roman"/>
          <w:sz w:val="18"/>
          <w:szCs w:val="18"/>
          <w:color w:val="auto"/>
        </w:rPr>
      </w:pPr>
    </w:p>
    <w:p>
      <w:pPr>
        <w:ind w:right="60" w:firstLine="987"/>
        <w:spacing w:after="0" w:line="284"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Parent shall have received a certificate signed by an executive officer of the Company certifying as to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6.2(a) 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320" w:firstLine="987"/>
        <w:spacing w:after="0" w:line="315" w:lineRule="auto"/>
        <w:tabs>
          <w:tab w:leader="none" w:pos="124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Material Adverse Effect</w:t>
      </w:r>
      <w:r>
        <w:rPr>
          <w:rFonts w:ascii="Times New Roman" w:cs="Times New Roman" w:eastAsia="Times New Roman" w:hAnsi="Times New Roman"/>
          <w:sz w:val="17"/>
          <w:szCs w:val="17"/>
          <w:color w:val="auto"/>
        </w:rPr>
        <w:t>. Since the date of this Agreement, there shall not have occurred any event, change, circumstance,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occurrence, effect or state of facts that has had or would reasonably be expected to have, individually or in the aggregate, a Material Adverse Effect.</w:t>
      </w:r>
    </w:p>
    <w:p>
      <w:pPr>
        <w:spacing w:after="0" w:line="13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the Obligations of the Company</w:t>
      </w:r>
      <w:r>
        <w:rPr>
          <w:rFonts w:ascii="Times New Roman" w:cs="Times New Roman" w:eastAsia="Times New Roman" w:hAnsi="Times New Roman"/>
          <w:sz w:val="18"/>
          <w:szCs w:val="18"/>
          <w:color w:val="auto"/>
        </w:rPr>
        <w:t>. The obligation of the Company to effect the Merger is also subject to the satisfaction, or waiver by the Company, at or prior to the Effective Time of the following conditions:</w:t>
      </w:r>
    </w:p>
    <w:p>
      <w:pPr>
        <w:spacing w:after="0" w:line="52" w:lineRule="exact"/>
        <w:rPr>
          <w:sz w:val="20"/>
          <w:szCs w:val="20"/>
          <w:color w:val="auto"/>
        </w:rPr>
      </w:pPr>
    </w:p>
    <w:p>
      <w:pPr>
        <w:ind w:firstLine="987"/>
        <w:spacing w:after="0" w:line="256"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 Each of the representations and warranties of Parent and Merger Sub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68" w:right="479" w:bottom="1440" w:gutter="0" w:footer="0" w:header="0"/>
        </w:sectPr>
      </w:pPr>
    </w:p>
    <w:bookmarkStart w:id="77" w:name="page78"/>
    <w:bookmarkEnd w:id="77"/>
    <w:p>
      <w:pPr>
        <w:ind w:left="4"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w:t>
      </w:r>
    </w:p>
    <w:p>
      <w:pPr>
        <w:spacing w:after="0" w:line="1" w:lineRule="exact"/>
        <w:rPr>
          <w:sz w:val="20"/>
          <w:szCs w:val="20"/>
          <w:color w:val="auto"/>
        </w:rPr>
      </w:pPr>
    </w:p>
    <w:p>
      <w:pPr>
        <w:ind w:left="4" w:right="260" w:hanging="4"/>
        <w:spacing w:after="0" w:line="253" w:lineRule="auto"/>
        <w:tabs>
          <w:tab w:leader="none" w:pos="3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w:t>
      </w:r>
    </w:p>
    <w:p>
      <w:pPr>
        <w:spacing w:after="0" w:line="186" w:lineRule="exact"/>
        <w:rPr>
          <w:rFonts w:ascii="Times New Roman" w:cs="Times New Roman" w:eastAsia="Times New Roman" w:hAnsi="Times New Roman"/>
          <w:sz w:val="18"/>
          <w:szCs w:val="18"/>
          <w:color w:val="auto"/>
        </w:rPr>
      </w:pPr>
    </w:p>
    <w:p>
      <w:pPr>
        <w:ind w:left="4" w:right="620" w:firstLine="987"/>
        <w:spacing w:after="0" w:line="284" w:lineRule="auto"/>
        <w:tabs>
          <w:tab w:leader="none" w:pos="125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of Obligations of Parent and Merger Sub</w:t>
      </w:r>
      <w:r>
        <w:rPr>
          <w:rFonts w:ascii="Times New Roman" w:cs="Times New Roman" w:eastAsia="Times New Roman" w:hAnsi="Times New Roman"/>
          <w:sz w:val="18"/>
          <w:szCs w:val="18"/>
          <w:color w:val="auto"/>
        </w:rPr>
        <w:t>. Parent and Merger Sub shall have performed in all material respects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required to be performed by them under this Agreement at or prior to the Effective Time.</w:t>
      </w:r>
    </w:p>
    <w:p>
      <w:pPr>
        <w:spacing w:after="0" w:line="158" w:lineRule="exact"/>
        <w:rPr>
          <w:rFonts w:ascii="Times New Roman" w:cs="Times New Roman" w:eastAsia="Times New Roman" w:hAnsi="Times New Roman"/>
          <w:sz w:val="18"/>
          <w:szCs w:val="18"/>
          <w:color w:val="auto"/>
        </w:rPr>
      </w:pPr>
    </w:p>
    <w:p>
      <w:pPr>
        <w:ind w:left="4" w:right="20" w:firstLine="987"/>
        <w:spacing w:after="0" w:line="284" w:lineRule="auto"/>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Company shall have received a certificate signed by an executive officer of Parent certifying as to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4" w:right="360" w:firstLine="987"/>
        <w:spacing w:after="0" w:line="267" w:lineRule="auto"/>
        <w:tabs>
          <w:tab w:leader="none" w:pos="125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Since the date of this Agreement, there shall not have occurred any event, change, circumstance,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effect or state of facts that has had or would reasonably be expected to have, individually or in the aggregate, a Parent Material Adverse Effect.</w:t>
      </w:r>
    </w:p>
    <w:p>
      <w:pPr>
        <w:spacing w:after="0" w:line="173" w:lineRule="exact"/>
        <w:rPr>
          <w:rFonts w:ascii="Times New Roman" w:cs="Times New Roman" w:eastAsia="Times New Roman" w:hAnsi="Times New Roman"/>
          <w:sz w:val="18"/>
          <w:szCs w:val="18"/>
          <w:color w:val="auto"/>
        </w:rPr>
      </w:pPr>
    </w:p>
    <w:p>
      <w:pPr>
        <w:ind w:left="4" w:right="80" w:firstLine="987"/>
        <w:spacing w:after="0" w:line="257" w:lineRule="auto"/>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w:t>
      </w:r>
      <w:r>
        <w:rPr>
          <w:rFonts w:ascii="Times New Roman" w:cs="Times New Roman" w:eastAsia="Times New Roman" w:hAnsi="Times New Roman"/>
          <w:sz w:val="18"/>
          <w:szCs w:val="18"/>
          <w:color w:val="auto"/>
        </w:rPr>
        <w:t>. The Company shall have received, on the Closing Date, but before the Effective Time, an opinion, in form and substance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satisfactory to the Company (the “</w:t>
      </w:r>
      <w:r>
        <w:rPr>
          <w:rFonts w:ascii="Times New Roman" w:cs="Times New Roman" w:eastAsia="Times New Roman" w:hAnsi="Times New Roman"/>
          <w:sz w:val="18"/>
          <w:szCs w:val="18"/>
          <w:u w:val="single" w:color="auto"/>
          <w:color w:val="auto"/>
        </w:rPr>
        <w:t>Closing Tax Opinion</w:t>
      </w:r>
      <w:r>
        <w:rPr>
          <w:rFonts w:ascii="Times New Roman" w:cs="Times New Roman" w:eastAsia="Times New Roman" w:hAnsi="Times New Roman"/>
          <w:sz w:val="18"/>
          <w:szCs w:val="18"/>
          <w:color w:val="auto"/>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w:t>
      </w:r>
    </w:p>
    <w:p>
      <w:pPr>
        <w:spacing w:after="0" w:line="182" w:lineRule="exact"/>
        <w:rPr>
          <w:rFonts w:ascii="Times New Roman" w:cs="Times New Roman" w:eastAsia="Times New Roman" w:hAnsi="Times New Roman"/>
          <w:sz w:val="18"/>
          <w:szCs w:val="18"/>
          <w:color w:val="auto"/>
        </w:rPr>
      </w:pPr>
    </w:p>
    <w:p>
      <w:pPr>
        <w:ind w:left="4" w:firstLine="987"/>
        <w:spacing w:after="0" w:line="267" w:lineRule="auto"/>
        <w:tabs>
          <w:tab w:leader="none" w:pos="12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Remittance</w:t>
      </w:r>
      <w:r>
        <w:rPr>
          <w:rFonts w:ascii="Times New Roman" w:cs="Times New Roman" w:eastAsia="Times New Roman" w:hAnsi="Times New Roman"/>
          <w:sz w:val="18"/>
          <w:szCs w:val="18"/>
          <w:color w:val="auto"/>
        </w:rPr>
        <w:t>. The Company shall have timely remitted the entire amount of any and all the required tax deposits necessary to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 with its Notice of Objection related to the Canada Tax Authorities Corporation Income Tax Assessment dated April 13, 2026 and Alberta Notice of Reassessment for Corporate Income Tax dated March 2, 2026.</w:t>
      </w:r>
    </w:p>
    <w:p>
      <w:pPr>
        <w:spacing w:after="0" w:line="175"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Parent, Merger Sub or the Company may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caused by such Party’s breach of this Agreement.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may be abandoned at any time prior to the Effective Time, whether before or after the Written Consent has been obtained (with any termination by Parent also being an effective termination by Merger Sub):</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8" w:name="page79"/>
    <w:bookmarkEnd w:id="78"/>
    <w:p>
      <w:pPr>
        <w:ind w:left="1244" w:hanging="253"/>
        <w:spacing w:after="0"/>
        <w:tabs>
          <w:tab w:leader="none" w:pos="124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mutual written consent of Parent and the Company;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17" w:lineRule="exact"/>
        <w:rPr>
          <w:rFonts w:ascii="Times New Roman" w:cs="Times New Roman" w:eastAsia="Times New Roman" w:hAnsi="Times New Roman"/>
          <w:sz w:val="18"/>
          <w:szCs w:val="18"/>
          <w:color w:val="auto"/>
        </w:rPr>
      </w:pPr>
    </w:p>
    <w:p>
      <w:pPr>
        <w:ind w:left="4" w:right="100" w:firstLine="1428"/>
        <w:spacing w:after="0" w:line="276" w:lineRule="auto"/>
        <w:tabs>
          <w:tab w:leader="none" w:pos="1651"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Merger shall not have been consummated on or before May 31, 2027 at 5:00 p.m. (Central Time) or such later date as Parent and the Company shall agree in writing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7.1(b)</w:t>
      </w:r>
    </w:p>
    <w:p>
      <w:pPr>
        <w:ind w:left="4" w:right="300" w:hanging="4"/>
        <w:spacing w:after="0" w:line="260" w:lineRule="auto"/>
        <w:tabs>
          <w:tab w:leader="none" w:pos="219" w:val="left"/>
        </w:tabs>
        <w:numPr>
          <w:ilvl w:val="0"/>
          <w:numId w:val="10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be available to any Party whose failure to fulfill in any material respect any of its obligations under this Agreement has been the primary cause of, or the primary factor that resulted in, the failure of the Merger to be consummated by the Outside Date; or</w:t>
      </w:r>
    </w:p>
    <w:p>
      <w:pPr>
        <w:spacing w:after="0" w:line="181" w:lineRule="exact"/>
        <w:rPr>
          <w:rFonts w:ascii="Times New Roman" w:cs="Times New Roman" w:eastAsia="Times New Roman" w:hAnsi="Times New Roman"/>
          <w:sz w:val="18"/>
          <w:szCs w:val="18"/>
          <w:u w:val="single" w:color="auto"/>
          <w:color w:val="auto"/>
        </w:rPr>
      </w:pPr>
    </w:p>
    <w:p>
      <w:pPr>
        <w:ind w:left="4" w:right="140" w:firstLine="1428"/>
        <w:spacing w:after="0" w:line="258" w:lineRule="auto"/>
        <w:tabs>
          <w:tab w:leader="none" w:pos="1701"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shall have used its reasonable best efforts to contest, appeal and remove such judgment, order, injunction, rule, decree, ruling or other action in accordance with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17" w:lineRule="exact"/>
        <w:rPr>
          <w:rFonts w:ascii="Times New Roman" w:cs="Times New Roman" w:eastAsia="Times New Roman" w:hAnsi="Times New Roman"/>
          <w:sz w:val="18"/>
          <w:szCs w:val="18"/>
          <w:color w:val="auto"/>
        </w:rPr>
      </w:pPr>
    </w:p>
    <w:p>
      <w:pPr>
        <w:ind w:left="4" w:firstLine="1428"/>
        <w:spacing w:after="0" w:line="256" w:lineRule="auto"/>
        <w:tabs>
          <w:tab w:leader="none" w:pos="165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if Parent or Merger Sub is then in material breach of any of its covenants or agreements set forth in this Agreement;</w:t>
      </w:r>
    </w:p>
    <w:p>
      <w:pPr>
        <w:spacing w:after="0" w:line="187" w:lineRule="exact"/>
        <w:rPr>
          <w:rFonts w:ascii="Times New Roman" w:cs="Times New Roman" w:eastAsia="Times New Roman" w:hAnsi="Times New Roman"/>
          <w:sz w:val="18"/>
          <w:szCs w:val="18"/>
          <w:color w:val="auto"/>
        </w:rPr>
      </w:pPr>
    </w:p>
    <w:p>
      <w:pPr>
        <w:ind w:left="4" w:right="220" w:firstLine="1428"/>
        <w:spacing w:after="0" w:line="282" w:lineRule="auto"/>
        <w:tabs>
          <w:tab w:leader="none" w:pos="170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Board shall have effected an Adverse Recommendation Change; provided, that Parent’s right to terminate this Agreement pursuant to this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shall expire upon the delivery of the Written Consent;</w:t>
      </w:r>
    </w:p>
    <w:p>
      <w:pPr>
        <w:spacing w:after="0" w:line="161" w:lineRule="exact"/>
        <w:rPr>
          <w:rFonts w:ascii="Times New Roman" w:cs="Times New Roman" w:eastAsia="Times New Roman" w:hAnsi="Times New Roman"/>
          <w:sz w:val="18"/>
          <w:szCs w:val="18"/>
          <w:color w:val="auto"/>
        </w:rPr>
      </w:pPr>
    </w:p>
    <w:p>
      <w:pPr>
        <w:ind w:left="4" w:right="40" w:firstLine="1428"/>
        <w:spacing w:after="0" w:line="266" w:lineRule="auto"/>
        <w:tabs>
          <w:tab w:leader="none" w:pos="175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Written Consent, duly executed by the Consenting Stockholders, shall not have been delivered to Parent and the Company by the Consent Time; provided, that Parent’s right to terminate this Agreement pursuant to this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xml:space="preserve"> shall expire upon the delivery and effectiveness of the Written Consent; or</w:t>
      </w:r>
    </w:p>
    <w:p>
      <w:pPr>
        <w:spacing w:after="0" w:line="175" w:lineRule="exact"/>
        <w:rPr>
          <w:rFonts w:ascii="Times New Roman" w:cs="Times New Roman" w:eastAsia="Times New Roman" w:hAnsi="Times New Roman"/>
          <w:sz w:val="18"/>
          <w:szCs w:val="18"/>
          <w:color w:val="auto"/>
        </w:rPr>
      </w:pPr>
    </w:p>
    <w:p>
      <w:pPr>
        <w:jc w:val="both"/>
        <w:ind w:left="4" w:right="560" w:firstLine="1428"/>
        <w:spacing w:after="0" w:line="266" w:lineRule="auto"/>
        <w:tabs>
          <w:tab w:leader="none" w:pos="174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Support Agreement, duly executed by the Consenting Stockholders, shall not have been delivered to Parent and the Company by the Consent Time; provided, that Parent’s right to terminate this Agreement pursuant to this </w:t>
      </w:r>
      <w:r>
        <w:rPr>
          <w:rFonts w:ascii="Times New Roman" w:cs="Times New Roman" w:eastAsia="Times New Roman" w:hAnsi="Times New Roman"/>
          <w:sz w:val="18"/>
          <w:szCs w:val="18"/>
          <w:u w:val="single" w:color="auto"/>
          <w:color w:val="auto"/>
        </w:rPr>
        <w:t>Section 7.1(c)(iv)</w:t>
      </w:r>
      <w:r>
        <w:rPr>
          <w:rFonts w:ascii="Times New Roman" w:cs="Times New Roman" w:eastAsia="Times New Roman" w:hAnsi="Times New Roman"/>
          <w:sz w:val="18"/>
          <w:szCs w:val="18"/>
          <w:color w:val="auto"/>
        </w:rPr>
        <w:t xml:space="preserve"> shall expire upon the delivery of executed counterparts of the Support Agreement by the Consenting Stockholders and the Company.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9" w:name="page80"/>
    <w:bookmarkEnd w:id="79"/>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Company:</w:t>
      </w:r>
    </w:p>
    <w:p>
      <w:pPr>
        <w:spacing w:after="0" w:line="117" w:lineRule="exact"/>
        <w:rPr>
          <w:rFonts w:ascii="Times New Roman" w:cs="Times New Roman" w:eastAsia="Times New Roman" w:hAnsi="Times New Roman"/>
          <w:sz w:val="18"/>
          <w:szCs w:val="18"/>
          <w:color w:val="auto"/>
        </w:rPr>
      </w:pPr>
    </w:p>
    <w:p>
      <w:pPr>
        <w:ind w:firstLine="1428"/>
        <w:spacing w:after="0" w:line="274" w:lineRule="auto"/>
        <w:tabs>
          <w:tab w:leader="none" w:pos="164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 w:cs="Times New Roman" w:eastAsia="Times New Roman" w:hAnsi="Times New Roman"/>
          <w:sz w:val="17"/>
          <w:szCs w:val="17"/>
          <w:u w:val="single" w:color="auto"/>
          <w:color w:val="auto"/>
        </w:rPr>
        <w:t>Section 7.1(d)(i)</w:t>
      </w:r>
      <w:r>
        <w:rPr>
          <w:rFonts w:ascii="Times New Roman" w:cs="Times New Roman" w:eastAsia="Times New Roman" w:hAnsi="Times New Roman"/>
          <w:sz w:val="17"/>
          <w:szCs w:val="17"/>
          <w:color w:val="auto"/>
        </w:rPr>
        <w:t xml:space="preserve"> if the Company is then in material breach of any of its covenants or agreements set forth in this Agreement;</w:t>
      </w:r>
    </w:p>
    <w:p>
      <w:pPr>
        <w:spacing w:after="0" w:line="172" w:lineRule="exact"/>
        <w:rPr>
          <w:rFonts w:ascii="Times New Roman" w:cs="Times New Roman" w:eastAsia="Times New Roman" w:hAnsi="Times New Roman"/>
          <w:sz w:val="17"/>
          <w:szCs w:val="17"/>
          <w:color w:val="auto"/>
        </w:rPr>
      </w:pPr>
    </w:p>
    <w:p>
      <w:pPr>
        <w:ind w:right="40" w:firstLine="1428"/>
        <w:spacing w:after="0" w:line="256" w:lineRule="auto"/>
        <w:tabs>
          <w:tab w:leader="none" w:pos="169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Board shall have authorized the Company to enter into a definitive agreement providing for a Superior Proposal; provided, (A) the Company has complied with its obligations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provided, further, that the Company’s right to terminate this Agreement pursuant to this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shall expire upon the delivery of the Written Consent; or</w:t>
      </w:r>
    </w:p>
    <w:p>
      <w:pPr>
        <w:spacing w:after="0" w:line="187" w:lineRule="exact"/>
        <w:rPr>
          <w:rFonts w:ascii="Times New Roman" w:cs="Times New Roman" w:eastAsia="Times New Roman" w:hAnsi="Times New Roman"/>
          <w:sz w:val="18"/>
          <w:szCs w:val="18"/>
          <w:color w:val="auto"/>
        </w:rPr>
      </w:pPr>
    </w:p>
    <w:p>
      <w:pPr>
        <w:ind w:right="300" w:firstLine="1428"/>
        <w:spacing w:after="0" w:line="266" w:lineRule="auto"/>
        <w:tabs>
          <w:tab w:leader="none" w:pos="17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Novation contemplated by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(Assignment by Parent) is not effective by 11:59 p.m. Central Time on the day following the date on which the closing of Rewind occurs; provided, that the Company’s right to terminate this Agreement pursuant to this </w:t>
      </w:r>
      <w:r>
        <w:rPr>
          <w:rFonts w:ascii="Times New Roman" w:cs="Times New Roman" w:eastAsia="Times New Roman" w:hAnsi="Times New Roman"/>
          <w:sz w:val="18"/>
          <w:szCs w:val="18"/>
          <w:u w:val="single" w:color="auto"/>
          <w:color w:val="auto"/>
        </w:rPr>
        <w:t>Section 7.1(d)(iii)</w:t>
      </w:r>
      <w:r>
        <w:rPr>
          <w:rFonts w:ascii="Times New Roman" w:cs="Times New Roman" w:eastAsia="Times New Roman" w:hAnsi="Times New Roman"/>
          <w:sz w:val="18"/>
          <w:szCs w:val="18"/>
          <w:color w:val="auto"/>
        </w:rPr>
        <w:t xml:space="preserve"> shall expire upon the delivery and effectiveness of the Novation.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shall give written notice of such termination to the other Party, specifying the provision hereof pursuant to which such termination is made.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that this Agreement is validly terminated and the Merger abandoned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68" w:lineRule="exact"/>
        <w:rPr>
          <w:sz w:val="20"/>
          <w:szCs w:val="20"/>
          <w:color w:val="auto"/>
        </w:rPr>
      </w:pPr>
    </w:p>
    <w:p>
      <w:pPr>
        <w:ind w:right="100" w:firstLine="987"/>
        <w:spacing w:after="0" w:line="258"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Agreement (as amended hereby) and the provisions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(Public Announcements),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(Termination Fees and Expenses),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(Notices),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(Entire Agreement),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(No Third Party Beneficiaries),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(Submission to Jurisdiction),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(Assignment; Successors),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(Specific Performance),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(No Presumption Against Drafting Party) shall survive the termination hereof;</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non-breaching Party shall be entitled to all rights and remedies available at law or in equity.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80" w:name="page81"/>
    <w:bookmarkEnd w:id="80"/>
    <w:p>
      <w:pPr>
        <w:ind w:left="4" w:right="140" w:firstLine="987"/>
        <w:spacing w:after="0" w:line="266" w:lineRule="auto"/>
        <w:tabs>
          <w:tab w:leader="none" w:pos="12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Termination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17" w:lineRule="exact"/>
        <w:rPr>
          <w:rFonts w:ascii="Times New Roman" w:cs="Times New Roman" w:eastAsia="Times New Roman" w:hAnsi="Times New Roman"/>
          <w:sz w:val="18"/>
          <w:szCs w:val="18"/>
          <w:color w:val="auto"/>
        </w:rPr>
      </w:pPr>
    </w:p>
    <w:p>
      <w:pPr>
        <w:ind w:left="4" w:firstLine="1428"/>
        <w:spacing w:after="0" w:line="254" w:lineRule="auto"/>
        <w:tabs>
          <w:tab w:leader="none" w:pos="165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by Parent pursuant to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(Company’s Breach) or either the Company or Parent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(Outside Date), (B) at any 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all references to “20%” in the definition of Acquisition Proposal shall be deemed to be references to “50%”;</w:t>
      </w:r>
    </w:p>
    <w:p>
      <w:pPr>
        <w:spacing w:after="0" w:line="191"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(Superior Proposal); or</w:t>
      </w:r>
    </w:p>
    <w:p>
      <w:pPr>
        <w:spacing w:after="0" w:line="225" w:lineRule="exact"/>
        <w:rPr>
          <w:rFonts w:ascii="Times New Roman" w:cs="Times New Roman" w:eastAsia="Times New Roman" w:hAnsi="Times New Roman"/>
          <w:sz w:val="18"/>
          <w:szCs w:val="18"/>
          <w:color w:val="auto"/>
        </w:rPr>
      </w:pPr>
    </w:p>
    <w:p>
      <w:pPr>
        <w:ind w:left="4" w:right="260" w:firstLine="1428"/>
        <w:spacing w:after="0" w:line="282" w:lineRule="auto"/>
        <w:tabs>
          <w:tab w:leader="none" w:pos="175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(Adverse Recommendation Change),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xml:space="preserve"> (Written Consent) or </w:t>
      </w:r>
      <w:r>
        <w:rPr>
          <w:rFonts w:ascii="Times New Roman" w:cs="Times New Roman" w:eastAsia="Times New Roman" w:hAnsi="Times New Roman"/>
          <w:sz w:val="18"/>
          <w:szCs w:val="18"/>
          <w:u w:val="single" w:color="auto"/>
          <w:color w:val="auto"/>
        </w:rPr>
        <w:t>Section 7.1(c)(iv)</w:t>
      </w:r>
      <w:r>
        <w:rPr>
          <w:rFonts w:ascii="Times New Roman" w:cs="Times New Roman" w:eastAsia="Times New Roman" w:hAnsi="Times New Roman"/>
          <w:sz w:val="18"/>
          <w:szCs w:val="18"/>
          <w:color w:val="auto"/>
        </w:rPr>
        <w:t xml:space="preserve"> (Support Agreement), then</w:t>
      </w:r>
    </w:p>
    <w:p>
      <w:pPr>
        <w:spacing w:after="0" w:line="162"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w:t>
      </w:r>
    </w:p>
    <w:p>
      <w:pPr>
        <w:spacing w:after="0" w:line="1" w:lineRule="exact"/>
        <w:rPr>
          <w:sz w:val="20"/>
          <w:szCs w:val="20"/>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prior to or substantially concurrently with such termination, and (C) in the case of clause (iii) above, promptly, but in no event later than two</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the date of such termination, pay, or cause to be paid, by wire transfer of immediately available funds, to the account or entity designated in writing by Parent, an amount equal to $5,500,000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4"/>
          </w:cols>
          <w:pgMar w:left="436" w:top="270" w:right="479" w:bottom="1440" w:gutter="0" w:footer="0" w:header="0"/>
        </w:sectPr>
      </w:pPr>
    </w:p>
    <w:bookmarkStart w:id="81" w:name="page82"/>
    <w:bookmarkEnd w:id="81"/>
    <w:p>
      <w:pPr>
        <w:ind w:left="1240" w:hanging="253"/>
        <w:spacing w:after="0"/>
        <w:tabs>
          <w:tab w:leader="none" w:pos="12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7.1(d)(iii)</w:t>
      </w:r>
      <w:r>
        <w:rPr>
          <w:rFonts w:ascii="Times New Roman" w:cs="Times New Roman" w:eastAsia="Times New Roman" w:hAnsi="Times New Roman"/>
          <w:sz w:val="18"/>
          <w:szCs w:val="18"/>
          <w:color w:val="auto"/>
        </w:rPr>
        <w:t xml:space="preserve"> (Failure to Timely Effect Novation); or</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(Parent’s Breach) due to Parent’s breach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then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Parent shall promptly pay, or cause to be paid, by wire transfer of immediately available funds, to the account or entity designated in writing by the Company, an amount equal to $9,700,000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provided, however, that in the event the Parent Termination Fee becomes payable pursuant to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w:t>
      </w:r>
    </w:p>
    <w:p>
      <w:pPr>
        <w:spacing w:after="0" w:line="188" w:lineRule="exact"/>
        <w:rPr>
          <w:sz w:val="20"/>
          <w:szCs w:val="20"/>
          <w:color w:val="auto"/>
        </w:rPr>
      </w:pPr>
    </w:p>
    <w:p>
      <w:pPr>
        <w:ind w:firstLine="987"/>
        <w:spacing w:after="0" w:line="252"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but subject to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(i) Parent’s right to receive the Company Termination Fee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in circumstances where the Company Termination Fee is owed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except in the case of fraud or willful and material breach, shall constitute the sole and exclusive remedy of Parent and Merger Sub and their respective Subsidiaries against the Company and its Subsidiaries and any of their respective former, current or future general or limited partners, stockholders, members, managers, directors, officers, employees, agents, Affiliates or assignees of any of the foregoing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 xml:space="preserve">) and (ii) the Company’s right to receive the Parent Termination Fee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in circumstances where the Parent Termination Fee is owed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 xml:space="preserve">). While Parent may pursue both (i) a grant of specific performance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(ii) payment of the Company Termination Fee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2" w:name="page83"/>
    <w:bookmarkEnd w:id="82"/>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(ii) payment of the Parent Termination Fee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w:t>
      </w:r>
    </w:p>
    <w:p>
      <w:pPr>
        <w:spacing w:after="0" w:line="176" w:lineRule="exact"/>
        <w:rPr>
          <w:sz w:val="20"/>
          <w:szCs w:val="20"/>
          <w:color w:val="auto"/>
        </w:rPr>
      </w:pPr>
    </w:p>
    <w:p>
      <w:pPr>
        <w:ind w:firstLine="987"/>
        <w:spacing w:after="0" w:line="256"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(i)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w:t>
      </w:r>
    </w:p>
    <w:p>
      <w:pPr>
        <w:spacing w:after="0" w:line="187" w:lineRule="exact"/>
        <w:rPr>
          <w:rFonts w:ascii="Times New Roman" w:cs="Times New Roman" w:eastAsia="Times New Roman" w:hAnsi="Times New Roman"/>
          <w:sz w:val="18"/>
          <w:szCs w:val="18"/>
          <w:color w:val="auto"/>
        </w:rPr>
      </w:pPr>
    </w:p>
    <w:p>
      <w:pPr>
        <w:ind w:right="20" w:firstLine="987"/>
        <w:spacing w:after="0" w:line="269" w:lineRule="auto"/>
        <w:tabs>
          <w:tab w:leader="none" w:pos="12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set forth in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6.1(c) of the Company Disclosure Letter.</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93" w:lineRule="exact"/>
        <w:rPr>
          <w:sz w:val="20"/>
          <w:szCs w:val="20"/>
          <w:color w:val="auto"/>
        </w:rPr>
      </w:pPr>
    </w:p>
    <w:p>
      <w:pPr>
        <w:ind w:left="1420" w:hanging="43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Merger Sub or the Surviving Corporation, to:</w:t>
      </w:r>
    </w:p>
    <w:p>
      <w:pPr>
        <w:spacing w:after="0" w:line="117" w:lineRule="exact"/>
        <w:rPr>
          <w:rFonts w:ascii="Times New Roman" w:cs="Times New Roman" w:eastAsia="Times New Roman" w:hAnsi="Times New Roman"/>
          <w:sz w:val="18"/>
          <w:szCs w:val="18"/>
          <w:color w:val="auto"/>
        </w:rPr>
      </w:pPr>
    </w:p>
    <w:p>
      <w:pPr>
        <w:ind w:left="1420" w:right="73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Weatherford International plc 2000 St. James Place Houston, Texas 77056 Attention: Separately Supplied E-mail: Separately Supplied</w:t>
      </w:r>
    </w:p>
    <w:p>
      <w:pPr>
        <w:spacing w:after="0" w:line="16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right="79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 &amp; Spalding LLP 1100 Louisiana St. Suite 4100 Houston, Texas 77002</w:t>
      </w:r>
    </w:p>
    <w:p>
      <w:pPr>
        <w:spacing w:after="0" w:line="2"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Jonathan Newton; Robert Leclerc</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jnewton@kslaw.com; rleclerc@kslaw.com</w:t>
      </w:r>
    </w:p>
    <w:p>
      <w:pPr>
        <w:spacing w:after="0" w:line="23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NCS Multistage Holdings, Inc.</w:t>
      </w:r>
    </w:p>
    <w:p>
      <w:pPr>
        <w:spacing w:after="0" w:line="27" w:lineRule="exact"/>
        <w:rPr>
          <w:rFonts w:ascii="Times New Roman" w:cs="Times New Roman" w:eastAsia="Times New Roman" w:hAnsi="Times New Roman"/>
          <w:sz w:val="18"/>
          <w:szCs w:val="18"/>
          <w:color w:val="auto"/>
        </w:rPr>
      </w:pPr>
    </w:p>
    <w:p>
      <w:pPr>
        <w:ind w:left="14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19350 State Highway 249, Suite 600 Houston, Texas 77070</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Ori Lev</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olev@ncsmultistage.com</w:t>
      </w:r>
    </w:p>
    <w:p>
      <w:pPr>
        <w:spacing w:after="0" w:line="206"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Botts L.L.P.</w:t>
      </w:r>
    </w:p>
    <w:p>
      <w:pPr>
        <w:spacing w:after="0" w:line="27" w:lineRule="exact"/>
        <w:rPr>
          <w:rFonts w:ascii="Times New Roman" w:cs="Times New Roman" w:eastAsia="Times New Roman" w:hAnsi="Times New Roman"/>
          <w:sz w:val="18"/>
          <w:szCs w:val="18"/>
          <w:color w:val="auto"/>
        </w:rPr>
      </w:pPr>
    </w:p>
    <w:p>
      <w:pPr>
        <w:ind w:left="1420" w:right="79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910 Louisiana St Houston, Texas 77002</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James Marshall; Jamie L. Yarbrough</w:t>
      </w:r>
    </w:p>
    <w:p>
      <w:pPr>
        <w:spacing w:after="0" w:line="9" w:lineRule="exact"/>
        <w:rPr>
          <w:rFonts w:ascii="Times New Roman" w:cs="Times New Roman" w:eastAsia="Times New Roman" w:hAnsi="Times New Roman"/>
          <w:sz w:val="18"/>
          <w:szCs w:val="18"/>
          <w:color w:val="auto"/>
        </w:rPr>
      </w:pPr>
    </w:p>
    <w:p>
      <w:pPr>
        <w:ind w:left="1420" w:right="6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james.marshall@bakerbotts.com; jamie.yarbrough@bakerbotts.com</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6" w:right="459" w:bottom="1440" w:gutter="0" w:footer="0" w:header="0"/>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w:t>
      </w:r>
    </w:p>
    <w:p>
      <w:pPr>
        <w:spacing w:after="0" w:line="117" w:lineRule="exact"/>
        <w:rPr>
          <w:sz w:val="20"/>
          <w:szCs w:val="20"/>
          <w:color w:val="auto"/>
        </w:rPr>
      </w:pPr>
    </w:p>
    <w:p>
      <w:pPr>
        <w:ind w:left="-40" w:right="40" w:firstLine="987"/>
        <w:spacing w:after="0" w:line="282" w:lineRule="auto"/>
        <w:tabs>
          <w:tab w:leader="none" w:pos="11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through one or more intermediaries, controls, is controlled by, or is under common control with, such first Person.</w:t>
      </w:r>
    </w:p>
    <w:p>
      <w:pPr>
        <w:spacing w:after="0" w:line="161" w:lineRule="exact"/>
        <w:rPr>
          <w:rFonts w:ascii="Times New Roman" w:cs="Times New Roman" w:eastAsia="Times New Roman" w:hAnsi="Times New Roman"/>
          <w:sz w:val="18"/>
          <w:szCs w:val="18"/>
          <w:color w:val="auto"/>
        </w:rPr>
      </w:pPr>
    </w:p>
    <w:p>
      <w:pPr>
        <w:ind w:left="-40" w:firstLine="987"/>
        <w:spacing w:after="0" w:line="261"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79" w:lineRule="exact"/>
        <w:rPr>
          <w:rFonts w:ascii="Times New Roman" w:cs="Times New Roman" w:eastAsia="Times New Roman" w:hAnsi="Times New Roman"/>
          <w:sz w:val="18"/>
          <w:szCs w:val="18"/>
          <w:color w:val="auto"/>
        </w:rPr>
      </w:pPr>
    </w:p>
    <w:p>
      <w:pPr>
        <w:ind w:left="-40" w:right="120" w:firstLine="987"/>
        <w:spacing w:after="0" w:line="282" w:lineRule="auto"/>
        <w:tabs>
          <w:tab w:leader="none" w:pos="11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means, with respect to a specified Person, the ownership of securities as determined in accordance with Rule 13d-3 of the Exchange Act, as such rule is in effect from time to time.</w:t>
      </w:r>
    </w:p>
    <w:p>
      <w:pPr>
        <w:spacing w:after="0" w:line="161" w:lineRule="exact"/>
        <w:rPr>
          <w:rFonts w:ascii="Times New Roman" w:cs="Times New Roman" w:eastAsia="Times New Roman" w:hAnsi="Times New Roman"/>
          <w:sz w:val="18"/>
          <w:szCs w:val="18"/>
          <w:color w:val="auto"/>
        </w:rPr>
      </w:pPr>
    </w:p>
    <w:p>
      <w:pPr>
        <w:ind w:left="-40" w:right="280" w:firstLine="987"/>
        <w:spacing w:after="0" w:line="282"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banks in New York, New York are authorized or required by applicable Law to be closed.</w:t>
      </w:r>
    </w:p>
    <w:p>
      <w:pPr>
        <w:spacing w:after="0" w:line="161"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or other Contract with a Union.</w:t>
      </w:r>
    </w:p>
    <w:p>
      <w:pPr>
        <w:spacing w:after="0" w:line="225" w:lineRule="exact"/>
        <w:rPr>
          <w:rFonts w:ascii="Times New Roman" w:cs="Times New Roman" w:eastAsia="Times New Roman" w:hAnsi="Times New Roman"/>
          <w:sz w:val="18"/>
          <w:szCs w:val="18"/>
          <w:color w:val="auto"/>
        </w:rPr>
      </w:pPr>
    </w:p>
    <w:p>
      <w:pPr>
        <w:ind w:left="-40" w:right="280" w:firstLine="987"/>
        <w:spacing w:after="0" w:line="282" w:lineRule="auto"/>
        <w:tabs>
          <w:tab w:leader="none" w:pos="11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DSU</w:t>
      </w:r>
      <w:r>
        <w:rPr>
          <w:rFonts w:ascii="Times New Roman" w:cs="Times New Roman" w:eastAsia="Times New Roman" w:hAnsi="Times New Roman"/>
          <w:sz w:val="18"/>
          <w:szCs w:val="18"/>
          <w:color w:val="auto"/>
        </w:rPr>
        <w:t>” means each Company RSU granted to a non-employee director of the Company under the Company Stock Plans, whether vested or unvested.</w:t>
      </w:r>
    </w:p>
    <w:p>
      <w:pPr>
        <w:spacing w:after="0" w:line="161" w:lineRule="exact"/>
        <w:rPr>
          <w:rFonts w:ascii="Times New Roman" w:cs="Times New Roman" w:eastAsia="Times New Roman" w:hAnsi="Times New Roman"/>
          <w:sz w:val="18"/>
          <w:szCs w:val="18"/>
          <w:color w:val="auto"/>
        </w:rPr>
      </w:pPr>
    </w:p>
    <w:p>
      <w:pPr>
        <w:ind w:left="-40" w:right="20" w:firstLine="987"/>
        <w:spacing w:after="0" w:line="282"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all outstanding Company ESUs, Company PSUs, Company RSUs (including Company DSUs), and Company Options.</w:t>
      </w:r>
    </w:p>
    <w:p>
      <w:pPr>
        <w:spacing w:after="0" w:line="161" w:lineRule="exact"/>
        <w:rPr>
          <w:rFonts w:ascii="Times New Roman" w:cs="Times New Roman" w:eastAsia="Times New Roman" w:hAnsi="Times New Roman"/>
          <w:sz w:val="18"/>
          <w:szCs w:val="18"/>
          <w:color w:val="auto"/>
        </w:rPr>
      </w:pPr>
    </w:p>
    <w:p>
      <w:pPr>
        <w:ind w:left="-40" w:right="360" w:firstLine="987"/>
        <w:spacing w:after="0" w:line="282"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Employee Stock Purchase Plan for U.S. Employees and the Company’s Employee Stock Purchase Plan for Non-U.S. Employees.</w:t>
      </w:r>
    </w:p>
    <w:p>
      <w:pPr>
        <w:spacing w:after="0" w:line="161" w:lineRule="exact"/>
        <w:rPr>
          <w:rFonts w:ascii="Times New Roman" w:cs="Times New Roman" w:eastAsia="Times New Roman" w:hAnsi="Times New Roman"/>
          <w:sz w:val="18"/>
          <w:szCs w:val="18"/>
          <w:color w:val="auto"/>
        </w:rPr>
      </w:pPr>
    </w:p>
    <w:p>
      <w:pPr>
        <w:ind w:left="-40" w:firstLine="987"/>
        <w:spacing w:after="0" w:line="282" w:lineRule="auto"/>
        <w:tabs>
          <w:tab w:leader="none" w:pos="1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ESU</w:t>
      </w:r>
      <w:r>
        <w:rPr>
          <w:rFonts w:ascii="Times New Roman" w:cs="Times New Roman" w:eastAsia="Times New Roman" w:hAnsi="Times New Roman"/>
          <w:sz w:val="18"/>
          <w:szCs w:val="18"/>
          <w:color w:val="auto"/>
        </w:rPr>
        <w:t>” means each outstanding equivalent stock unit award representing the right to receive a cash payment based on the fair market value of shares of Company Common Stock granted under the Company Stock Plans, whether vested or unvested.</w:t>
      </w:r>
    </w:p>
    <w:p>
      <w:pPr>
        <w:spacing w:after="0" w:line="161" w:lineRule="exact"/>
        <w:rPr>
          <w:rFonts w:ascii="Times New Roman" w:cs="Times New Roman" w:eastAsia="Times New Roman" w:hAnsi="Times New Roman"/>
          <w:sz w:val="18"/>
          <w:szCs w:val="18"/>
          <w:color w:val="auto"/>
        </w:rPr>
      </w:pPr>
    </w:p>
    <w:p>
      <w:pPr>
        <w:ind w:left="1160" w:hanging="213"/>
        <w:spacing w:after="0"/>
        <w:tabs>
          <w:tab w:leader="none" w:pos="1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Indebtedness</w:t>
      </w:r>
      <w:r>
        <w:rPr>
          <w:rFonts w:ascii="Times New Roman" w:cs="Times New Roman" w:eastAsia="Times New Roman" w:hAnsi="Times New Roman"/>
          <w:sz w:val="18"/>
          <w:szCs w:val="18"/>
          <w:color w:val="auto"/>
        </w:rPr>
        <w:t>” means outstanding indebtedness of the Company and its Subsidiaries pursuant to the Credit Agreement.</w:t>
      </w:r>
    </w:p>
    <w:p>
      <w:pPr>
        <w:spacing w:after="0" w:line="225" w:lineRule="exact"/>
        <w:rPr>
          <w:rFonts w:ascii="Times New Roman" w:cs="Times New Roman" w:eastAsia="Times New Roman" w:hAnsi="Times New Roman"/>
          <w:sz w:val="18"/>
          <w:szCs w:val="18"/>
          <w:color w:val="auto"/>
        </w:rPr>
      </w:pPr>
    </w:p>
    <w:p>
      <w:pPr>
        <w:ind w:left="-40" w:right="520" w:firstLine="987"/>
        <w:spacing w:after="0" w:line="282"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outstanding award of options to purchase shares of Company Common Stock granted under the Company Stock Plans, whether vested or unvested.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20"/>
          </w:cols>
          <w:pgMar w:left="480" w:top="270" w:right="499" w:bottom="1440" w:gutter="0" w:footer="0" w:header="0"/>
        </w:sectPr>
      </w:pPr>
    </w:p>
    <w:bookmarkStart w:id="85" w:name="page86"/>
    <w:bookmarkEnd w:id="85"/>
    <w:p>
      <w:pPr>
        <w:ind w:right="120" w:firstLine="987"/>
        <w:spacing w:after="0" w:line="282" w:lineRule="auto"/>
        <w:tabs>
          <w:tab w:leader="none" w:pos="12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each outstanding performance stock unit award representing the right to receive shares of Company Common Stock based on the achievement of specified performance goals granted under the Company Stock Plans, whether vested or unvested.</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each outstanding restricted stock unit award representing the right to receive shares of Company Common Stock granted under the Company Stock Plans, whether vested or unvested, that vests solely based on continued service.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Company’s Amended and Restated 2017 Equity Incentive Plan and the Company’s 2012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w:t>
      </w:r>
    </w:p>
    <w:p>
      <w:pPr>
        <w:spacing w:after="0" w:line="206"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bond, debenture, note, mortgage, indenture, guarantee, license, lease, purchase or sale order or other contract, commitment, agreement, instrument, obligation, arrangement, understanding, undertaking, permit, concession or franchise, whether oral or written (each, including all amendments thereto).</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Stockholders</w:t>
      </w:r>
      <w:r>
        <w:rPr>
          <w:rFonts w:ascii="Times New Roman" w:cs="Times New Roman" w:eastAsia="Times New Roman" w:hAnsi="Times New Roman"/>
          <w:sz w:val="18"/>
          <w:szCs w:val="18"/>
          <w:color w:val="auto"/>
        </w:rPr>
        <w:t>” means Advent-NCS Acquisition L.P. and Advent International Corporation.</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w:t>
      </w:r>
    </w:p>
    <w:p>
      <w:pPr>
        <w:spacing w:after="0" w:line="175" w:lineRule="exact"/>
        <w:rPr>
          <w:rFonts w:ascii="Times New Roman" w:cs="Times New Roman" w:eastAsia="Times New Roman" w:hAnsi="Times New Roman"/>
          <w:sz w:val="18"/>
          <w:szCs w:val="18"/>
          <w:color w:val="auto"/>
        </w:rPr>
      </w:pPr>
    </w:p>
    <w:p>
      <w:pPr>
        <w:ind w:right="220" w:firstLine="987"/>
        <w:spacing w:after="0" w:line="289" w:lineRule="auto"/>
        <w:tabs>
          <w:tab w:leader="none" w:pos="120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FDI Laws</w:t>
      </w:r>
      <w:r>
        <w:rPr>
          <w:rFonts w:ascii="Times New Roman" w:cs="Times New Roman" w:eastAsia="Times New Roman" w:hAnsi="Times New Roman"/>
          <w:sz w:val="17"/>
          <w:szCs w:val="17"/>
          <w:color w:val="auto"/>
        </w:rPr>
        <w:t>”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w:t>
      </w:r>
    </w:p>
    <w:p>
      <w:pPr>
        <w:spacing w:after="0" w:line="157" w:lineRule="exact"/>
        <w:rPr>
          <w:rFonts w:ascii="Times New Roman" w:cs="Times New Roman" w:eastAsia="Times New Roman" w:hAnsi="Times New Roman"/>
          <w:sz w:val="17"/>
          <w:szCs w:val="17"/>
          <w:color w:val="auto"/>
        </w:rPr>
      </w:pPr>
    </w:p>
    <w:p>
      <w:pPr>
        <w:ind w:right="60" w:firstLine="987"/>
        <w:spacing w:after="0" w:line="258"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6" w:name="page87"/>
    <w:bookmarkEnd w:id="86"/>
    <w:p>
      <w:pPr>
        <w:ind w:left="1244" w:hanging="253"/>
        <w:spacing w:after="0"/>
        <w:tabs>
          <w:tab w:leader="none" w:pos="12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Irish Companies Act</w:t>
      </w:r>
      <w:r>
        <w:rPr>
          <w:rFonts w:ascii="Times New Roman" w:cs="Times New Roman" w:eastAsia="Times New Roman" w:hAnsi="Times New Roman"/>
          <w:sz w:val="18"/>
          <w:szCs w:val="18"/>
          <w:color w:val="auto"/>
        </w:rPr>
        <w:t>” means the Companies Act 2014 of Ireland, as amended.</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9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of any Party means (i) in the case of the Company, the actual knowledge of the individuals set forth on </w:t>
      </w:r>
      <w:r>
        <w:rPr>
          <w:rFonts w:ascii="Times New Roman" w:cs="Times New Roman" w:eastAsia="Times New Roman" w:hAnsi="Times New Roman"/>
          <w:sz w:val="18"/>
          <w:szCs w:val="18"/>
          <w:u w:val="single" w:color="auto"/>
          <w:color w:val="auto"/>
        </w:rPr>
        <w:t>Section 8.3(w)</w:t>
      </w:r>
      <w:r>
        <w:rPr>
          <w:rFonts w:ascii="Times New Roman" w:cs="Times New Roman" w:eastAsia="Times New Roman" w:hAnsi="Times New Roman"/>
          <w:sz w:val="18"/>
          <w:szCs w:val="18"/>
          <w:color w:val="auto"/>
        </w:rPr>
        <w:t xml:space="preserve">(i) of the Company Disclosure Letter and, solely with respect to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assuming reasonable inquiry of direct reports and (ii) in the case of Parent, the actual knowledge of the individuals set forth on </w:t>
      </w:r>
      <w:r>
        <w:rPr>
          <w:rFonts w:ascii="Times New Roman" w:cs="Times New Roman" w:eastAsia="Times New Roman" w:hAnsi="Times New Roman"/>
          <w:sz w:val="18"/>
          <w:szCs w:val="18"/>
          <w:u w:val="single" w:color="auto"/>
          <w:color w:val="auto"/>
        </w:rPr>
        <w:t>Section 8.3(w)</w:t>
      </w:r>
      <w:r>
        <w:rPr>
          <w:rFonts w:ascii="Times New Roman" w:cs="Times New Roman" w:eastAsia="Times New Roman" w:hAnsi="Times New Roman"/>
          <w:sz w:val="18"/>
          <w:szCs w:val="18"/>
          <w:color w:val="auto"/>
        </w:rPr>
        <w:t>(ii) of the Parent Disclosure Letter.</w:t>
      </w:r>
    </w:p>
    <w:p>
      <w:pPr>
        <w:spacing w:after="0" w:line="175"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w:t>
      </w:r>
    </w:p>
    <w:p>
      <w:pPr>
        <w:spacing w:after="0" w:line="17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nonassessable</w:t>
      </w:r>
      <w:r>
        <w:rPr>
          <w:rFonts w:ascii="Times New Roman" w:cs="Times New Roman" w:eastAsia="Times New Roman" w:hAnsi="Times New Roman"/>
          <w:sz w:val="18"/>
          <w:szCs w:val="18"/>
          <w:color w:val="auto"/>
        </w:rPr>
        <w:t>” mean the holders of the shares or equity interests, as applicable, are not subject, solely by virtue of their shareholdings, to calls for additional payments of capital on such shares.</w:t>
      </w:r>
    </w:p>
    <w:p>
      <w:pPr>
        <w:spacing w:after="0" w:line="162" w:lineRule="exact"/>
        <w:rPr>
          <w:sz w:val="20"/>
          <w:szCs w:val="20"/>
          <w:color w:val="auto"/>
        </w:rPr>
      </w:pPr>
    </w:p>
    <w:p>
      <w:pPr>
        <w:ind w:left="4" w:right="20" w:firstLine="987"/>
        <w:spacing w:after="0" w:line="266" w:lineRule="auto"/>
        <w:tabs>
          <w:tab w:leader="none" w:pos="13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means all real property owned by the Company or any of its Subsidiaries, together with all structures, facilities, fixtures, systems and improvements located thereon, or attached or appurtenant thereto, and all easements, rights and appurtenances relating to the foregoing.</w:t>
      </w:r>
    </w:p>
    <w:p>
      <w:pPr>
        <w:spacing w:after="0" w:line="175"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means the ordinary shares, par value $0.001 per share of Parent.</w:t>
      </w:r>
    </w:p>
    <w:p>
      <w:pPr>
        <w:spacing w:after="0" w:line="22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Redomestication Shareholder Approval</w:t>
      </w:r>
      <w:r>
        <w:rPr>
          <w:rFonts w:ascii="Times New Roman" w:cs="Times New Roman" w:eastAsia="Times New Roman" w:hAnsi="Times New Roman"/>
          <w:sz w:val="18"/>
          <w:szCs w:val="18"/>
          <w:color w:val="auto"/>
        </w:rPr>
        <w:t>”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w:t>
      </w:r>
    </w:p>
    <w:p>
      <w:pPr>
        <w:spacing w:after="0" w:line="179" w:lineRule="exact"/>
        <w:rPr>
          <w:rFonts w:ascii="Times New Roman" w:cs="Times New Roman" w:eastAsia="Times New Roman" w:hAnsi="Times New Roman"/>
          <w:sz w:val="18"/>
          <w:szCs w:val="18"/>
          <w:color w:val="auto"/>
        </w:rPr>
      </w:pPr>
    </w:p>
    <w:p>
      <w:pPr>
        <w:ind w:left="4" w:right="560" w:firstLine="987"/>
        <w:spacing w:after="0" w:line="272" w:lineRule="auto"/>
        <w:tabs>
          <w:tab w:leader="none" w:pos="134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w:t>
      </w:r>
    </w:p>
    <w:p>
      <w:pPr>
        <w:spacing w:after="0" w:line="1" w:lineRule="exact"/>
        <w:rPr>
          <w:rFonts w:ascii="Times New Roman" w:cs="Times New Roman" w:eastAsia="Times New Roman" w:hAnsi="Times New Roman"/>
          <w:sz w:val="17"/>
          <w:szCs w:val="17"/>
          <w:color w:val="auto"/>
        </w:rPr>
      </w:pPr>
    </w:p>
    <w:p>
      <w:pPr>
        <w:ind w:left="4" w:right="120" w:hanging="4"/>
        <w:spacing w:after="0" w:line="255" w:lineRule="auto"/>
        <w:tabs>
          <w:tab w:leader="none" w:pos="3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7" w:name="page88"/>
    <w:bookmarkEnd w:id="8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 w:cs="Times New Roman" w:eastAsia="Times New Roman" w:hAnsi="Times New Roman"/>
          <w:sz w:val="18"/>
          <w:szCs w:val="18"/>
          <w:u w:val="single" w:color="auto"/>
          <w:color w:val="auto"/>
        </w:rPr>
        <w:t>Section 8.3(dd)(x)</w:t>
      </w:r>
      <w:r>
        <w:rPr>
          <w:rFonts w:ascii="Times New Roman" w:cs="Times New Roman" w:eastAsia="Times New Roman" w:hAnsi="Times New Roman"/>
          <w:sz w:val="18"/>
          <w:szCs w:val="18"/>
          <w:color w:val="auto"/>
        </w:rPr>
        <w:t xml:space="preserve"> of the Company Disclosure Letter and (xi) Liens arising under the Credit Agreement.</w:t>
      </w:r>
    </w:p>
    <w:p>
      <w:pPr>
        <w:spacing w:after="0" w:line="194" w:lineRule="exact"/>
        <w:rPr>
          <w:sz w:val="20"/>
          <w:szCs w:val="20"/>
          <w:color w:val="auto"/>
        </w:rPr>
      </w:pPr>
    </w:p>
    <w:p>
      <w:pPr>
        <w:ind w:right="280" w:firstLine="987"/>
        <w:spacing w:after="0" w:line="282" w:lineRule="auto"/>
        <w:tabs>
          <w:tab w:leader="none" w:pos="131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any Governmental Entity.</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w:t>
      </w:r>
    </w:p>
    <w:p>
      <w:pPr>
        <w:spacing w:after="0" w:line="179" w:lineRule="exact"/>
        <w:rPr>
          <w:rFonts w:ascii="Times New Roman" w:cs="Times New Roman" w:eastAsia="Times New Roman" w:hAnsi="Times New Roman"/>
          <w:sz w:val="18"/>
          <w:szCs w:val="18"/>
          <w:color w:val="auto"/>
        </w:rPr>
      </w:pPr>
    </w:p>
    <w:p>
      <w:pPr>
        <w:ind w:right="60" w:firstLine="987"/>
        <w:spacing w:after="0" w:line="253" w:lineRule="auto"/>
        <w:tabs>
          <w:tab w:leader="none" w:pos="13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w:t>
      </w:r>
    </w:p>
    <w:p>
      <w:pPr>
        <w:spacing w:after="0" w:line="189" w:lineRule="exact"/>
        <w:rPr>
          <w:rFonts w:ascii="Times New Roman" w:cs="Times New Roman" w:eastAsia="Times New Roman" w:hAnsi="Times New Roman"/>
          <w:sz w:val="18"/>
          <w:szCs w:val="18"/>
          <w:color w:val="auto"/>
        </w:rPr>
      </w:pPr>
    </w:p>
    <w:p>
      <w:pPr>
        <w:ind w:right="20" w:firstLine="987"/>
        <w:spacing w:after="0" w:line="282" w:lineRule="auto"/>
        <w:tabs>
          <w:tab w:leader="none" w:pos="13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Official</w:t>
      </w:r>
      <w:r>
        <w:rPr>
          <w:rFonts w:ascii="Times New Roman" w:cs="Times New Roman" w:eastAsia="Times New Roman" w:hAnsi="Times New Roman"/>
          <w:sz w:val="18"/>
          <w:szCs w:val="18"/>
          <w:color w:val="auto"/>
        </w:rPr>
        <w:t>” means any officer or employee of a government or any department, agency, or instrumentality thereof, or of a public international organization, or anyone acting on behalf of such government or department.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8" w:name="page89"/>
    <w:bookmarkEnd w:id="88"/>
    <w:p>
      <w:pPr>
        <w:ind w:left="4" w:right="580" w:firstLine="987"/>
        <w:spacing w:after="0" w:line="282" w:lineRule="auto"/>
        <w:tabs>
          <w:tab w:leader="none" w:pos="12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Repeat Precision Note</w:t>
      </w:r>
      <w:r>
        <w:rPr>
          <w:rFonts w:ascii="Times New Roman" w:cs="Times New Roman" w:eastAsia="Times New Roman" w:hAnsi="Times New Roman"/>
          <w:sz w:val="18"/>
          <w:szCs w:val="18"/>
          <w:color w:val="auto"/>
        </w:rPr>
        <w:t>” means that certain Promissory Note between Repeat Precision, LLC and Security State Bank &amp; Trust, Fredericksburg Office, dated May 15, 2024.</w:t>
      </w:r>
    </w:p>
    <w:p>
      <w:pPr>
        <w:spacing w:after="0" w:line="161"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 the Parent Ordinary Shares issued to the Specified Stockholders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4" w:right="120" w:hanging="4"/>
        <w:spacing w:after="0" w:line="253"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capital stock of Parent issued or issuable with respect to such Parent Ordinary Shares, including as a result of any stock split, stock dividend, recapitalization, exchange or similar event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w:t>
      </w:r>
    </w:p>
    <w:p>
      <w:pPr>
        <w:spacing w:after="0" w:line="186"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Rewind</w:t>
      </w:r>
      <w:r>
        <w:rPr>
          <w:rFonts w:ascii="Times New Roman" w:cs="Times New Roman" w:eastAsia="Times New Roman" w:hAnsi="Times New Roman"/>
          <w:sz w:val="18"/>
          <w:szCs w:val="18"/>
          <w:color w:val="auto"/>
        </w:rPr>
        <w:t>”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w:t>
      </w:r>
    </w:p>
    <w:p>
      <w:pPr>
        <w:spacing w:after="0" w:line="183" w:lineRule="exact"/>
        <w:rPr>
          <w:rFonts w:ascii="Times New Roman" w:cs="Times New Roman" w:eastAsia="Times New Roman" w:hAnsi="Times New Roman"/>
          <w:sz w:val="18"/>
          <w:szCs w:val="18"/>
          <w:color w:val="auto"/>
        </w:rPr>
      </w:pPr>
    </w:p>
    <w:p>
      <w:pPr>
        <w:ind w:left="1444" w:hanging="453"/>
        <w:spacing w:after="0"/>
        <w:tabs>
          <w:tab w:leader="none" w:pos="144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Advent-NCS Acquisition L.P.</w:t>
      </w:r>
    </w:p>
    <w:p>
      <w:pPr>
        <w:spacing w:after="0" w:line="22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w:t>
      </w:r>
    </w:p>
    <w:p>
      <w:pPr>
        <w:spacing w:after="0" w:line="2" w:lineRule="exact"/>
        <w:rPr>
          <w:rFonts w:ascii="Times New Roman" w:cs="Times New Roman" w:eastAsia="Times New Roman" w:hAnsi="Times New Roman"/>
          <w:sz w:val="18"/>
          <w:szCs w:val="18"/>
          <w:color w:val="auto"/>
        </w:rPr>
      </w:pPr>
    </w:p>
    <w:p>
      <w:pPr>
        <w:ind w:left="4"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w:t>
      </w: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Repeat Precision, LLC and RJ Machine Mexico, S. de R.L. de C.V. shall be deemed to be a Subsidiary of the Company for purposes of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4"/>
          </w:cols>
          <w:pgMar w:left="436" w:top="270" w:right="479" w:bottom="1440" w:gutter="0" w:footer="0" w:header="0"/>
        </w:sectPr>
      </w:pPr>
    </w:p>
    <w:bookmarkStart w:id="89" w:name="page90"/>
    <w:bookmarkEnd w:id="89"/>
    <w:p>
      <w:pPr>
        <w:ind w:right="20" w:firstLine="987"/>
        <w:spacing w:after="0" w:line="274" w:lineRule="auto"/>
        <w:tabs>
          <w:tab w:leader="none" w:pos="133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all federal, state, local, non-U.S. and other taxes, assessments or other similar charges in the nature of a tax imposed by any Governmental Entity, including any net income, gross income, gross receipts, sales, use, stock, ad valorem, transfer, stamp duty, transaction, franchise, 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w:t>
      </w:r>
    </w:p>
    <w:p>
      <w:pPr>
        <w:spacing w:after="0" w:line="172" w:lineRule="exact"/>
        <w:rPr>
          <w:rFonts w:ascii="Times New Roman" w:cs="Times New Roman" w:eastAsia="Times New Roman" w:hAnsi="Times New Roman"/>
          <w:sz w:val="17"/>
          <w:szCs w:val="17"/>
          <w:color w:val="auto"/>
        </w:rPr>
      </w:pPr>
    </w:p>
    <w:p>
      <w:pPr>
        <w:ind w:left="1340" w:hanging="353"/>
        <w:spacing w:after="0"/>
        <w:tabs>
          <w:tab w:leader="none" w:pos="1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works council or other labor organization or employee representative or association.</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2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90" w:name="page91"/>
    <w:bookmarkEnd w:id="90"/>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(which is intended for the benefit of, and shall be enforceable by, the Persons referred to therein) and (iii) the Specified Stockholders shall be third party beneficiaries of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91" w:name="page92"/>
    <w:bookmarkEnd w:id="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upon and shall inure to the benefit of the parties to this Agreement and their respective successors and assigns. Any purported assignment not permitted by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be null and void ab initio.</w:t>
      </w:r>
    </w:p>
    <w:p>
      <w:pPr>
        <w:spacing w:after="0" w:line="194"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including the availability of the Company Termination Fee or the Parent Termination Fee, will not be construed to diminish or otherwise impair in any respect Parent’s or the Company’s, as applicable, right to such injunction, specific performance and other equitable relief.</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92" w:name="page93"/>
    <w:bookmarkEnd w:id="9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w:t>
      </w:r>
    </w:p>
    <w:p>
      <w:pPr>
        <w:spacing w:after="0" w:line="183"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w:t>
      </w:r>
    </w:p>
    <w:p>
      <w:pPr>
        <w:spacing w:after="0" w:line="19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IRREVOCABLY WAIVES ALL RIGHT TO A TRIAL BY JURY IN ANY ACTION, PROCEEDING OR COUNTERCLAIM ARISING OUT OF OR RELATING TO THIS AGREEMENT OR THE TRANSACTIONS.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40" w:top="270" w:right="499" w:bottom="1440" w:gutter="0" w:footer="0" w:header="0"/>
        </w:sectPr>
      </w:pPr>
    </w:p>
    <w:bookmarkStart w:id="93" w:name="page94"/>
    <w:bookmarkEnd w:id="93"/>
    <w:p>
      <w:pPr>
        <w:ind w:right="4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.pdf Signature</w:t>
      </w:r>
      <w:r>
        <w:rPr>
          <w:rFonts w:ascii="Times New Roman" w:cs="Times New Roman" w:eastAsia="Times New Roman" w:hAnsi="Times New Roman"/>
          <w:sz w:val="18"/>
          <w:szCs w:val="18"/>
          <w:color w:val="auto"/>
        </w:rPr>
        <w:t>.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w:t>
      </w:r>
    </w:p>
    <w:p>
      <w:pPr>
        <w:spacing w:after="0" w:line="183"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8.16 </w:t>
      </w:r>
      <w:r>
        <w:rPr>
          <w:rFonts w:ascii="Times New Roman" w:cs="Times New Roman" w:eastAsia="Times New Roman" w:hAnsi="Times New Roman"/>
          <w:sz w:val="17"/>
          <w:szCs w:val="17"/>
          <w:u w:val="single" w:color="auto"/>
          <w:color w:val="auto"/>
        </w:rPr>
        <w:t>No Presumption Against Drafting Party</w:t>
      </w:r>
      <w:r>
        <w:rPr>
          <w:rFonts w:ascii="Times New Roman" w:cs="Times New Roman" w:eastAsia="Times New Roman" w:hAnsi="Times New Roman"/>
          <w:sz w:val="17"/>
          <w:szCs w:val="17"/>
          <w:color w:val="auto"/>
        </w:rPr>
        <w:t>.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4" w:name="page95"/>
    <w:bookmarkEnd w:id="9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Depinder Sandhu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Depinder Sandhu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Strategy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TRINITY BELL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Depinder Sandhu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Depinder Sandhu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Strategy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NCS MULTISTAGE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Ryan Hummer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Ryan Hummer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680"/>
          </w:cols>
          <w:pgMar w:left="440" w:top="270" w:right="7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00150" cy="506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0" cy="50609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171450</wp:posOffset>
            </wp:positionV>
            <wp:extent cx="900430" cy="514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04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Weatherford Announces Definitive Agreement to Acquire NCS Multistage, Expanding Completions Portfolio and Unconventional Resource Exposure</w:t>
      </w:r>
    </w:p>
    <w:p>
      <w:pPr>
        <w:spacing w:after="0" w:line="15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HOUSTON, June 1, 2026 - </w:t>
      </w:r>
      <w:r>
        <w:rPr>
          <w:rFonts w:ascii="Times New Roman" w:cs="Times New Roman" w:eastAsia="Times New Roman" w:hAnsi="Times New Roman"/>
          <w:sz w:val="18"/>
          <w:szCs w:val="18"/>
          <w:color w:val="auto"/>
        </w:rPr>
        <w:t>Weatherford International plc (NASDAQ: WFRD) (“Weatherford” or the “Company”) and NCS Multistage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NCSM) (“NCS Multistage”) today announced that Weatherford has entered into a definitive agreement to acquire NCS Multistage. Under the terms of the agreement, NCS Multistage stockholders have an election to receive either Weatherford common stock or a combination of Weatherford common stock and cash. On a blended basis, this is expected to be the equivalent of 0.463 shares of Weatherford common stock for each NCS Multistage share with up to 19.99% of this payable in cash. Annual cost synergies are expected to be at least $15 million and be realized within 18 months of closing. The deal is expected to be immediately accretive to adjusted Free Cash Flow per share.</w:t>
      </w:r>
    </w:p>
    <w:p>
      <w:pPr>
        <w:spacing w:after="0" w:line="1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NCS Multistage brings a complementary technology portfolio aimed at supporting the optimization of oil and gas well completions and field development strategies. Its solutions are designed to enhance reliability and performance in complex well environments and are widely recognized for engineering rigor and capital-efficient deployment.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Strategic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is expected to complement and enhance Weatherford’s portfolio by:</w:t>
      </w:r>
    </w:p>
    <w:p>
      <w:pPr>
        <w:spacing w:after="0" w:line="131" w:lineRule="exact"/>
        <w:rPr>
          <w:sz w:val="20"/>
          <w:szCs w:val="20"/>
          <w:color w:val="auto"/>
        </w:rPr>
      </w:pPr>
    </w:p>
    <w:p>
      <w:pPr>
        <w:ind w:left="960" w:hanging="42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offerings in the well completions segment, while deepening Weatherford’s capabilities in the unconventional space.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delivery of differentiated, technology-enabled solutions that help customers improve operational and production outcomes.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avenue for further growth of NCS Multistage’s portfolio by leveraging Weatherford’s international footprint.</w:t>
      </w:r>
    </w:p>
    <w:p>
      <w:pPr>
        <w:sectPr>
          <w:pgSz w:w="11900" w:h="16838" w:orient="portrait"/>
          <w:cols w:equalWidth="0" w:num="1">
            <w:col w:w="11020"/>
          </w:cols>
          <w:pgMar w:left="440" w:top="121" w:right="439" w:bottom="1440" w:gutter="0" w:footer="0" w:header="0"/>
        </w:sectPr>
      </w:pPr>
    </w:p>
    <w:bookmarkStart w:id="96" w:name="page97"/>
    <w:bookmarkEnd w:id="9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Girish Saligram, Weatherford’s President and Chief Executive Officer, commented, “The acquisition of NCS Multistage is a natural complement to our completions strategy and enhances the application fit of our well construction products portfolio. NCS Multistage’s technology is expected to enhance our ability to serve customers across the completion lifecycle, from well design through production optimization and late-life interventions, while deepening our exposure to the growing unconventional resource market. We expect to realize at least $15 million in annual run-rate cost synergies over a period of 18 months. Additionally, we see a meaningful opportunity to create additional value by bringing this technology to our global customer base, and we look forward to welcoming NCS Multistage into Weatherford.”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Ryan Hummer, NCS Multistage’s Chief Executive Officer, commented, “This is a significant step for NCS Multistage that we believe positions our business—and the talented people who built it—for the next phase of growth as part of a leading global energy services company. I am proud of the company that our team at NCS Multistage has built, and it is clear from our interactions that Weatherford recognizes the strength of our technology, the quality of our operations, and the commitment of our people. This combination creates an opportunity for our products, technology, and people to reach a broader set of customers and markets faster than we could on our own, supported by Weatherford’s financial strength and international footprint, providing long-term opportunity and value for our stakeholders.”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 and Approvals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transaction has been approved by the Board of Directors of Weatherford, the Board of Directors of NCS Multistage, and the controlling stockholder of NCS Multistage that owns more than 50% of NCS Multistage’s outstanding common stock. The transaction is subject to certain customary closing conditions, including regulatory approvals, and is expected to close in the second half of 2026. Until the transaction closes, Weatherford and NCS Multistage will continue to operate as separate, independent companies.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NCS Multistage stockholders can elect to receive either 0.554 shares of Weatherford common stock at closing, or a combination of 0.239 shares of Weatherford common stock and a cash amount equal to 0.137 shares of Weatherford common stock at closing, subject to proration and certain limitations and adjustments. On a blended basis, this is expected to be the equivalent of 0.463 shares of Weatherford common stock with up to 19.99% of the total equity consideration payable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King &amp; Spalding LLP is acting as legal counsel to Weatherford and Baker Botts L.L.P. is acting as legal counsel to NCS Multistage. Piper Sandler &amp; Co.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serving as financial advisor to NCS Multistage.</w:t>
      </w:r>
    </w:p>
    <w:p>
      <w:pPr>
        <w:sectPr>
          <w:pgSz w:w="11900" w:h="16838" w:orient="portrait"/>
          <w:cols w:equalWidth="0" w:num="1">
            <w:col w:w="11020"/>
          </w:cols>
          <w:pgMar w:left="440" w:top="270"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Weatherford</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NCS Multistage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NCS Multistage is a leading provider of highly engineered products and support services that facilitate the optimization of oil and natural gas well construction, well completion and field development strategies. NCS Multistage provides products and services primarily to exploration and production companies for use in onshore and offshore wells, predominantly those that have been drilled with horizontal laterals in both unconventional and conventional oil and natural gas formations. NCS Multistage’s products and services are utilized in oil and natural gas basins throughout North America and in selected international markets, including the North Sea, the Middle East and Argentina. Visit ncsmultistage.com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w:t>
      </w:r>
    </w:p>
    <w:p>
      <w:pPr>
        <w:sectPr>
          <w:pgSz w:w="11900" w:h="16838" w:orient="portrait"/>
          <w:cols w:equalWidth="0" w:num="1">
            <w:col w:w="11000"/>
          </w:cols>
          <w:pgMar w:left="440" w:top="266" w:right="459" w:bottom="1440" w:gutter="0" w:footer="0" w:header="0"/>
        </w:sectPr>
      </w:pPr>
    </w:p>
    <w:bookmarkStart w:id="98" w:name="page99"/>
    <w:bookmarkEnd w:id="9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Weatherford’s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Weatherford’s or NCS Multistage’s forward-looking statements. Any forward-looking statement speaks only as of the date on which such statement is made, and Weatherford and NCS Multistage undertake no obligation to correct or update any forward-looking statement, whether as a result of new information, future events or otherwise, except as required by applicable law, and we caution you not to rely on them unduly.</w:t>
      </w:r>
    </w:p>
    <w:p>
      <w:pPr>
        <w:sectPr>
          <w:pgSz w:w="11900" w:h="16838" w:orient="portrait"/>
          <w:cols w:equalWidth="0" w:num="1">
            <w:col w:w="10960"/>
          </w:cols>
          <w:pgMar w:left="440" w:top="270"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p>
      <w:pPr>
        <w:sectPr>
          <w:pgSz w:w="11900" w:h="16838" w:orient="portrait"/>
          <w:cols w:equalWidth="0" w:num="1">
            <w:col w:w="10980"/>
          </w:cols>
          <w:pgMar w:left="440" w:top="266" w:right="479" w:bottom="1440" w:gutter="0" w:footer="0" w:header="0"/>
        </w:sectPr>
      </w:pPr>
    </w:p>
    <w:bookmarkStart w:id="100" w:name="page101"/>
    <w:bookmarkEnd w:id="100"/>
    <w:p>
      <w:pPr>
        <w:jc w:val="right"/>
        <w:ind w:right="4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Luke Lemoine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+1 713-836-7777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investor.relations@weatherford.com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Morrison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NCS Multistage Holdings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+1 281-453-2222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ir@ncsmultistage.com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Kelley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Corporate Communications, Marketing &amp; Sustainability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media@weatherford.com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lowerLetter"/>
      <w:start w:val="1"/>
    </w:lvl>
  </w:abstractNum>
  <w:abstractNum w:abstractNumId="3">
    <w:nsid w:val="25A70BF7"/>
    <w:multiLevelType w:val="hybridMultilevel"/>
    <w:lvl w:ilvl="0">
      <w:lvlJc w:val="left"/>
      <w:lvlText w:val="(%1)"/>
      <w:numFmt w:val="lowerLetter"/>
      <w:start w:val="2"/>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1)"/>
      <w:numFmt w:val="lowerLetter"/>
      <w:start w:val="1"/>
    </w:lvl>
  </w:abstractNum>
  <w:abstractNum w:abstractNumId="6">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1381823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8">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9">
    <w:nsid w:val="100F8FC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
    <w:nsid w:val="6590700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1">
    <w:nsid w:val="15014ACB"/>
    <w:multiLevelType w:val="hybridMultilevel"/>
    <w:lvl w:ilvl="0">
      <w:lvlJc w:val="left"/>
      <w:lvlText w:val="(%1)"/>
      <w:numFmt w:val="lowerLetter"/>
      <w:start w:val="1"/>
    </w:lvl>
  </w:abstractNum>
  <w:abstractNum w:abstractNumId="12">
    <w:nsid w:val="5F5E7FD0"/>
    <w:multiLevelType w:val="hybridMultilevel"/>
    <w:lvl w:ilvl="0">
      <w:lvlJc w:val="left"/>
      <w:lvlText w:val="(%1)"/>
      <w:numFmt w:val="lowerLetter"/>
      <w:start w:val="4"/>
    </w:lvl>
  </w:abstractNum>
  <w:abstractNum w:abstractNumId="13">
    <w:nsid w:val="98A3148"/>
    <w:multiLevelType w:val="hybridMultilevel"/>
    <w:lvl w:ilvl="0">
      <w:lvlJc w:val="left"/>
      <w:lvlText w:val="(%1)"/>
      <w:numFmt w:val="lowerLetter"/>
      <w:start w:val="1"/>
    </w:lvl>
  </w:abstractNum>
  <w:abstractNum w:abstractNumId="14">
    <w:nsid w:val="799D0247"/>
    <w:multiLevelType w:val="hybridMultilevel"/>
    <w:lvl w:ilvl="0">
      <w:lvlJc w:val="left"/>
      <w:lvlText w:val="%1"/>
      <w:numFmt w:val="decimal"/>
      <w:start w:val="1"/>
    </w:lvl>
    <w:lvl w:ilvl="1">
      <w:lvlJc w:val="left"/>
      <w:lvlText w:val="(%2)"/>
      <w:numFmt w:val="lowerLetter"/>
      <w:start w:val="2"/>
    </w:lvl>
  </w:abstractNum>
  <w:abstractNum w:abstractNumId="15">
    <w:nsid w:val="6B94764"/>
    <w:multiLevelType w:val="hybridMultilevel"/>
    <w:lvl w:ilvl="0">
      <w:lvlJc w:val="left"/>
      <w:lvlText w:val="(%1)"/>
      <w:numFmt w:val="decimal"/>
      <w:start w:val="1"/>
    </w:lvl>
    <w:lvl w:ilvl="1">
      <w:lvlJc w:val="left"/>
      <w:lvlText w:val="%2"/>
      <w:numFmt w:val="lowerLetter"/>
      <w:start w:val="1"/>
    </w:lvl>
  </w:abstractNum>
  <w:abstractNum w:abstractNumId="16">
    <w:nsid w:val="42C296BD"/>
    <w:multiLevelType w:val="hybridMultilevel"/>
    <w:lvl w:ilvl="0">
      <w:lvlJc w:val="left"/>
      <w:lvlText w:val="(%1)"/>
      <w:numFmt w:val="lowerLetter"/>
      <w:start w:val="3"/>
    </w:lvl>
  </w:abstractNum>
  <w:abstractNum w:abstractNumId="17">
    <w:nsid w:val="168E121F"/>
    <w:multiLevelType w:val="hybridMultilevel"/>
    <w:lvl w:ilvl="0">
      <w:lvlJc w:val="left"/>
      <w:lvlText w:val="%1"/>
      <w:numFmt w:val="lowerLetter"/>
      <w:start w:val="1"/>
    </w:lvl>
    <w:lvl w:ilvl="1">
      <w:lvlJc w:val="left"/>
      <w:lvlText w:val="(%2)"/>
      <w:numFmt w:val="lowerRoman"/>
      <w:start w:val="1"/>
    </w:lvl>
  </w:abstractNum>
  <w:abstractNum w:abstractNumId="18">
    <w:nsid w:val="1EBA5D23"/>
    <w:multiLevelType w:val="hybridMultilevel"/>
    <w:lvl w:ilvl="0">
      <w:lvlJc w:val="left"/>
      <w:lvlText w:val="(%1)"/>
      <w:numFmt w:val="lowerLetter"/>
      <w:start w:val="5"/>
    </w:lvl>
    <w:lvl w:ilvl="1">
      <w:lvlJc w:val="left"/>
      <w:lvlText w:val="%2"/>
      <w:numFmt w:val="lowerRoman"/>
      <w:start w:val="1"/>
    </w:lvl>
  </w:abstractNum>
  <w:abstractNum w:abstractNumId="19">
    <w:nsid w:val="661E3F1E"/>
    <w:multiLevelType w:val="hybridMultilevel"/>
    <w:lvl w:ilvl="0">
      <w:lvlJc w:val="left"/>
      <w:lvlText w:val="(%1)"/>
      <w:numFmt w:val="lowerLetter"/>
      <w:start w:val="7"/>
    </w:lvl>
  </w:abstractNum>
  <w:abstractNum w:abstractNumId="20">
    <w:nsid w:val="5DC79EA8"/>
    <w:multiLevelType w:val="hybridMultilevel"/>
    <w:lvl w:ilvl="0">
      <w:lvlJc w:val="left"/>
      <w:lvlText w:val="%1"/>
      <w:numFmt w:val="lowerLetter"/>
      <w:start w:val="1"/>
    </w:lvl>
    <w:lvl w:ilvl="1">
      <w:lvlJc w:val="left"/>
      <w:lvlText w:val="(%2)"/>
      <w:numFmt w:val="lowerLetter"/>
      <w:start w:val="2"/>
    </w:lvl>
  </w:abstractNum>
  <w:abstractNum w:abstractNumId="21">
    <w:nsid w:val="540A471C"/>
    <w:multiLevelType w:val="hybridMultilevel"/>
    <w:lvl w:ilvl="0">
      <w:lvlJc w:val="left"/>
      <w:lvlText w:val="(%1)"/>
      <w:numFmt w:val="lowerLetter"/>
      <w:start w:val="24"/>
    </w:lvl>
    <w:lvl w:ilvl="1">
      <w:lvlJc w:val="left"/>
      <w:lvlText w:val="%2"/>
      <w:numFmt w:val="lowerLetter"/>
      <w:start w:val="1"/>
    </w:lvl>
  </w:abstractNum>
  <w:abstractNum w:abstractNumId="22">
    <w:nsid w:val="7BD3EE7B"/>
    <w:multiLevelType w:val="hybridMultilevel"/>
    <w:lvl w:ilvl="0">
      <w:lvlJc w:val="left"/>
      <w:lvlText w:val="(%1)"/>
      <w:numFmt w:val="lowerLetter"/>
      <w:start w:val="1"/>
    </w:lvl>
  </w:abstractNum>
  <w:abstractNum w:abstractNumId="23">
    <w:nsid w:val="51D9C564"/>
    <w:multiLevelType w:val="hybridMultilevel"/>
    <w:lvl w:ilvl="0">
      <w:lvlJc w:val="left"/>
      <w:lvlText w:val="(%1)"/>
      <w:numFmt w:val="lowerLetter"/>
      <w:start w:val="1"/>
    </w:lvl>
  </w:abstractNum>
  <w:abstractNum w:abstractNumId="24">
    <w:nsid w:val="613EFDC5"/>
    <w:multiLevelType w:val="hybridMultilevel"/>
    <w:lvl w:ilvl="0">
      <w:lvlJc w:val="left"/>
      <w:lvlText w:val="(%1)"/>
      <w:numFmt w:val="lowerLetter"/>
      <w:start w:val="2"/>
    </w:lvl>
  </w:abstractNum>
  <w:abstractNum w:abstractNumId="25">
    <w:nsid w:val="BF72B14"/>
    <w:multiLevelType w:val="hybridMultilevel"/>
    <w:lvl w:ilvl="0">
      <w:lvlJc w:val="left"/>
      <w:lvlText w:val="(%1)"/>
      <w:numFmt w:val="lowerLetter"/>
      <w:start w:val="1"/>
    </w:lvl>
  </w:abstractNum>
  <w:abstractNum w:abstractNumId="26">
    <w:nsid w:val="11447B73"/>
    <w:multiLevelType w:val="hybridMultilevel"/>
    <w:lvl w:ilvl="0">
      <w:lvlJc w:val="left"/>
      <w:lvlText w:val="(%1)"/>
      <w:numFmt w:val="lowerLetter"/>
      <w:start w:val="2"/>
    </w:lvl>
  </w:abstractNum>
  <w:abstractNum w:abstractNumId="27">
    <w:nsid w:val="42963E5A"/>
    <w:multiLevelType w:val="hybridMultilevel"/>
    <w:lvl w:ilvl="0">
      <w:lvlJc w:val="left"/>
      <w:lvlText w:val="(%1)"/>
      <w:numFmt w:val="lowerLetter"/>
      <w:start w:val="1"/>
    </w:lvl>
  </w:abstractNum>
  <w:abstractNum w:abstractNumId="28">
    <w:nsid w:val="A0382C5"/>
    <w:multiLevelType w:val="hybridMultilevel"/>
    <w:lvl w:ilvl="0">
      <w:lvlJc w:val="left"/>
      <w:lvlText w:val="(%1)"/>
      <w:numFmt w:val="lowerLetter"/>
      <w:start w:val="2"/>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lowerRoman"/>
      <w:start w:val="1"/>
    </w:lvl>
    <w:lvl w:ilvl="1">
      <w:lvlJc w:val="left"/>
      <w:lvlText w:val="(%2)"/>
      <w:numFmt w:val="lowerLetter"/>
      <w:start w:val="1"/>
    </w:lvl>
  </w:abstractNum>
  <w:abstractNum w:abstractNumId="31">
    <w:nsid w:val="3B0FD379"/>
    <w:multiLevelType w:val="hybridMultilevel"/>
    <w:lvl w:ilvl="0">
      <w:lvlJc w:val="left"/>
      <w:lvlText w:val="(%1)"/>
      <w:numFmt w:val="lowerRoman"/>
      <w:start w:val="4"/>
    </w:lvl>
    <w:lvl w:ilvl="1">
      <w:lvlJc w:val="left"/>
      <w:lvlText w:val="%2"/>
      <w:numFmt w:val="lowerLetter"/>
      <w:start w:val="1"/>
    </w:lvl>
  </w:abstractNum>
  <w:abstractNum w:abstractNumId="32">
    <w:nsid w:val="68EB2F63"/>
    <w:multiLevelType w:val="hybridMultilevel"/>
    <w:lvl w:ilvl="0">
      <w:lvlJc w:val="left"/>
      <w:lvlText w:val="(%1)"/>
      <w:numFmt w:val="lowerLetter"/>
      <w:start w:val="3"/>
    </w:lvl>
  </w:abstractNum>
  <w:abstractNum w:abstractNumId="33">
    <w:nsid w:val="4962813B"/>
    <w:multiLevelType w:val="hybridMultilevel"/>
    <w:lvl w:ilvl="0">
      <w:lvlJc w:val="left"/>
      <w:lvlText w:val="%1"/>
      <w:numFmt w:val="lowerLetter"/>
      <w:start w:val="1"/>
    </w:lvl>
    <w:lvl w:ilvl="1">
      <w:lvlJc w:val="left"/>
      <w:lvlText w:val="(%2)"/>
      <w:numFmt w:val="lowerLetter"/>
      <w:start w:val="1"/>
    </w:lvl>
  </w:abstractNum>
  <w:abstractNum w:abstractNumId="34">
    <w:nsid w:val="60B6DF70"/>
    <w:multiLevelType w:val="hybridMultilevel"/>
    <w:lvl w:ilvl="0">
      <w:lvlJc w:val="left"/>
      <w:lvlText w:val="(%1)"/>
      <w:numFmt w:val="lowerLetter"/>
      <w:start w:val="61"/>
    </w:lvl>
    <w:lvl w:ilvl="1">
      <w:lvlJc w:val="left"/>
      <w:lvlText w:val="%2"/>
      <w:numFmt w:val="lowerLetter"/>
      <w:start w:val="1"/>
    </w:lvl>
  </w:abstractNum>
  <w:abstractNum w:abstractNumId="35">
    <w:nsid w:val="6A5EE64"/>
    <w:multiLevelType w:val="hybridMultilevel"/>
    <w:lvl w:ilvl="0">
      <w:lvlJc w:val="left"/>
      <w:lvlText w:val="(%1)"/>
      <w:numFmt w:val="lowerLetter"/>
      <w:start w:val="3"/>
    </w:lvl>
    <w:lvl w:ilvl="1">
      <w:lvlJc w:val="left"/>
      <w:lvlText w:val="(%2)"/>
      <w:numFmt w:val="lowerRoman"/>
      <w:start w:val="1"/>
    </w:lvl>
  </w:abstractNum>
  <w:abstractNum w:abstractNumId="36">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37">
    <w:nsid w:val="7FFFCA11"/>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8">
    <w:nsid w:val="1A27709E"/>
    <w:multiLevelType w:val="hybridMultilevel"/>
    <w:lvl w:ilvl="0">
      <w:lvlJc w:val="left"/>
      <w:lvlText w:val="(%1)"/>
      <w:numFmt w:val="lowerLetter"/>
      <w:start w:val="1"/>
    </w:lvl>
  </w:abstractNum>
  <w:abstractNum w:abstractNumId="39">
    <w:nsid w:val="71EA1109"/>
    <w:multiLevelType w:val="hybridMultilevel"/>
    <w:lvl w:ilvl="0">
      <w:lvlJc w:val="left"/>
      <w:lvlText w:val="(%1)"/>
      <w:numFmt w:val="lowerLetter"/>
      <w:start w:val="2"/>
    </w:lvl>
  </w:abstractNum>
  <w:abstractNum w:abstractNumId="40">
    <w:nsid w:val="100F59DC"/>
    <w:multiLevelType w:val="hybridMultilevel"/>
    <w:lvl w:ilvl="0">
      <w:lvlJc w:val="left"/>
      <w:lvlText w:val="(%1)"/>
      <w:numFmt w:val="lowerLetter"/>
      <w:start w:val="5"/>
    </w:lvl>
  </w:abstractNum>
  <w:abstractNum w:abstractNumId="41">
    <w:nsid w:val="7FB7E0AA"/>
    <w:multiLevelType w:val="hybridMultilevel"/>
    <w:lvl w:ilvl="0">
      <w:lvlJc w:val="left"/>
      <w:lvlText w:val="(%1)"/>
      <w:numFmt w:val="lowerLetter"/>
      <w:start w:val="1"/>
    </w:lvl>
  </w:abstractNum>
  <w:abstractNum w:abstractNumId="42">
    <w:nsid w:val="6EB5BD4"/>
    <w:multiLevelType w:val="hybridMultilevel"/>
    <w:lvl w:ilvl="0">
      <w:lvlJc w:val="left"/>
      <w:lvlText w:val="(%1)"/>
      <w:numFmt w:val="lowerLetter"/>
      <w:start w:val="4"/>
    </w:lvl>
  </w:abstractNum>
  <w:abstractNum w:abstractNumId="43">
    <w:nsid w:val="6F6DD9AC"/>
    <w:multiLevelType w:val="hybridMultilevel"/>
    <w:lvl w:ilvl="0">
      <w:lvlJc w:val="left"/>
      <w:lvlText w:val="(%1)"/>
      <w:numFmt w:val="lowerLetter"/>
      <w:start w:val="1"/>
    </w:lvl>
  </w:abstractNum>
  <w:abstractNum w:abstractNumId="44">
    <w:nsid w:val="94211F2"/>
    <w:multiLevelType w:val="hybridMultilevel"/>
    <w:lvl w:ilvl="0">
      <w:lvlJc w:val="left"/>
      <w:lvlText w:val="(%1)"/>
      <w:numFmt w:val="lowerLetter"/>
      <w:start w:val="5"/>
    </w:lvl>
  </w:abstractNum>
  <w:abstractNum w:abstractNumId="45">
    <w:nsid w:val="885E1B"/>
    <w:multiLevelType w:val="hybridMultilevel"/>
    <w:lvl w:ilvl="0">
      <w:lvlJc w:val="left"/>
      <w:lvlText w:val="(%1)"/>
      <w:numFmt w:val="lowerLetter"/>
      <w:start w:val="1"/>
    </w:lvl>
    <w:lvl w:ilvl="1">
      <w:lvlJc w:val="left"/>
      <w:lvlText w:val="(%2)"/>
      <w:numFmt w:val="lowerRoman"/>
      <w:start w:val="1"/>
    </w:lvl>
  </w:abstractNum>
  <w:abstractNum w:abstractNumId="46">
    <w:nsid w:val="76272110"/>
    <w:multiLevelType w:val="hybridMultilevel"/>
    <w:lvl w:ilvl="0">
      <w:lvlJc w:val="left"/>
      <w:lvlText w:val="(%1)"/>
      <w:numFmt w:val="lowerRoman"/>
      <w:start w:val="3"/>
    </w:lvl>
  </w:abstractNum>
  <w:abstractNum w:abstractNumId="47">
    <w:nsid w:val="4C04A8AF"/>
    <w:multiLevelType w:val="hybridMultilevel"/>
    <w:lvl w:ilvl="0">
      <w:lvlJc w:val="left"/>
      <w:lvlText w:val="%1"/>
      <w:numFmt w:val="lowerLetter"/>
      <w:start w:val="1"/>
    </w:lvl>
    <w:lvl w:ilvl="1">
      <w:lvlJc w:val="left"/>
      <w:lvlText w:val="(%2)"/>
      <w:numFmt w:val="lowerRoman"/>
      <w:start w:val="13"/>
    </w:lvl>
  </w:abstractNum>
  <w:abstractNum w:abstractNumId="48">
    <w:nsid w:val="1716703B"/>
    <w:multiLevelType w:val="hybridMultilevel"/>
    <w:lvl w:ilvl="0">
      <w:lvlJc w:val="left"/>
      <w:lvlText w:val="(%1)"/>
      <w:numFmt w:val="lowerLetter"/>
      <w:start w:val="2"/>
    </w:lvl>
    <w:lvl w:ilvl="1">
      <w:lvlJc w:val="left"/>
      <w:lvlText w:val="%2"/>
      <w:numFmt w:val="lowerRoman"/>
      <w:start w:val="1"/>
    </w:lvl>
  </w:abstractNum>
  <w:abstractNum w:abstractNumId="49">
    <w:nsid w:val="14E17E33"/>
    <w:multiLevelType w:val="hybridMultilevel"/>
    <w:lvl w:ilvl="0">
      <w:lvlJc w:val="left"/>
      <w:lvlText w:val="(%1)"/>
      <w:numFmt w:val="lowerLetter"/>
      <w:start w:val="1"/>
    </w:lvl>
  </w:abstractNum>
  <w:abstractNum w:abstractNumId="50">
    <w:nsid w:val="3222E7CD"/>
    <w:multiLevelType w:val="hybridMultilevel"/>
    <w:lvl w:ilvl="0">
      <w:lvlJc w:val="left"/>
      <w:lvlText w:val="(%1)"/>
      <w:numFmt w:val="lowerLetter"/>
      <w:start w:val="1"/>
    </w:lvl>
  </w:abstractNum>
  <w:abstractNum w:abstractNumId="51">
    <w:nsid w:val="74DE0EE3"/>
    <w:multiLevelType w:val="hybridMultilevel"/>
    <w:lvl w:ilvl="0">
      <w:lvlJc w:val="left"/>
      <w:lvlText w:val="(%1)"/>
      <w:numFmt w:val="lowerRoman"/>
      <w:start w:val="3"/>
    </w:lvl>
  </w:abstractNum>
  <w:abstractNum w:abstractNumId="52">
    <w:nsid w:val="68EBC550"/>
    <w:multiLevelType w:val="hybridMultilevel"/>
    <w:lvl w:ilvl="0">
      <w:lvlJc w:val="left"/>
      <w:lvlText w:val="(%1)"/>
      <w:numFmt w:val="lowerLetter"/>
      <w:start w:val="1"/>
    </w:lvl>
  </w:abstractNum>
  <w:abstractNum w:abstractNumId="53">
    <w:nsid w:val="2DF6D648"/>
    <w:multiLevelType w:val="hybridMultilevel"/>
    <w:lvl w:ilvl="0">
      <w:lvlJc w:val="left"/>
      <w:lvlText w:val="(%1)"/>
      <w:numFmt w:val="lowerLetter"/>
      <w:start w:val="2"/>
    </w:lvl>
  </w:abstractNum>
  <w:abstractNum w:abstractNumId="54">
    <w:nsid w:val="46B7D447"/>
    <w:multiLevelType w:val="hybridMultilevel"/>
    <w:lvl w:ilvl="0">
      <w:lvlJc w:val="left"/>
      <w:lvlText w:val="%1"/>
      <w:numFmt w:val="lowerRoman"/>
      <w:start w:val="1"/>
    </w:lvl>
    <w:lvl w:ilvl="1">
      <w:lvlJc w:val="left"/>
      <w:lvlText w:val="(%2)"/>
      <w:numFmt w:val="lowerLetter"/>
      <w:start w:val="1"/>
    </w:lvl>
  </w:abstractNum>
  <w:abstractNum w:abstractNumId="55">
    <w:nsid w:val="4A2AC315"/>
    <w:multiLevelType w:val="hybridMultilevel"/>
    <w:lvl w:ilvl="0">
      <w:lvlJc w:val="left"/>
      <w:lvlText w:val="(%1)"/>
      <w:numFmt w:val="lowerRoman"/>
      <w:start w:val="1"/>
    </w:lvl>
    <w:lvl w:ilvl="1">
      <w:lvlJc w:val="left"/>
      <w:lvlText w:val="(%2)"/>
      <w:numFmt w:val="lowerLetter"/>
      <w:start w:val="2"/>
    </w:lvl>
  </w:abstractNum>
  <w:abstractNum w:abstractNumId="56">
    <w:nsid w:val="39EE01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57FC4FB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8">
    <w:nsid w:val="CC1016F"/>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9">
    <w:nsid w:val="43F18422"/>
    <w:multiLevelType w:val="hybridMultilevel"/>
    <w:lvl w:ilvl="0">
      <w:lvlJc w:val="left"/>
      <w:lvlText w:val="(%1)"/>
      <w:numFmt w:val="lowerLetter"/>
      <w:start w:val="4"/>
    </w:lvl>
  </w:abstractNum>
  <w:abstractNum w:abstractNumId="60">
    <w:nsid w:val="60EF0119"/>
    <w:multiLevelType w:val="hybridMultilevel"/>
    <w:lvl w:ilvl="0">
      <w:lvlJc w:val="left"/>
      <w:lvlText w:val="(%1)"/>
      <w:numFmt w:val="lowerLetter"/>
      <w:start w:val="1"/>
    </w:lvl>
  </w:abstractNum>
  <w:abstractNum w:abstractNumId="61">
    <w:nsid w:val="26F324BA"/>
    <w:multiLevelType w:val="hybridMultilevel"/>
    <w:lvl w:ilvl="0">
      <w:lvlJc w:val="left"/>
      <w:lvlText w:val="(%1)"/>
      <w:numFmt w:val="decimal"/>
      <w:start w:val="3"/>
    </w:lvl>
  </w:abstractNum>
  <w:abstractNum w:abstractNumId="62">
    <w:nsid w:val="7F01579B"/>
    <w:multiLevelType w:val="hybridMultilevel"/>
    <w:lvl w:ilvl="0">
      <w:lvlJc w:val="left"/>
      <w:lvlText w:val="%1"/>
      <w:numFmt w:val="upperLetter"/>
      <w:start w:val="1"/>
    </w:lvl>
    <w:lvl w:ilvl="1">
      <w:lvlJc w:val="left"/>
      <w:lvlText w:val="(%2)"/>
      <w:numFmt w:val="lowerLetter"/>
      <w:start w:val="1"/>
    </w:lvl>
  </w:abstractNum>
  <w:abstractNum w:abstractNumId="63">
    <w:nsid w:val="49DA307D"/>
    <w:multiLevelType w:val="hybridMultilevel"/>
    <w:lvl w:ilvl="0">
      <w:lvlJc w:val="left"/>
      <w:lvlText w:val="(%1)"/>
      <w:numFmt w:val="upperLetter"/>
      <w:start w:val="2"/>
    </w:lvl>
    <w:lvl w:ilvl="1">
      <w:lvlJc w:val="left"/>
      <w:lvlText w:val="(%2)"/>
      <w:numFmt w:val="lowerLetter"/>
      <w:start w:val="2"/>
    </w:lvl>
  </w:abstractNum>
  <w:abstractNum w:abstractNumId="64">
    <w:nsid w:val="7055A5F5"/>
    <w:multiLevelType w:val="hybridMultilevel"/>
    <w:lvl w:ilvl="0">
      <w:lvlJc w:val="left"/>
      <w:lvlText w:val="(%1)"/>
      <w:numFmt w:val="lowerLetter"/>
      <w:start w:val="1"/>
    </w:lvl>
  </w:abstractNum>
  <w:abstractNum w:abstractNumId="65">
    <w:nsid w:val="5FB8370B"/>
    <w:multiLevelType w:val="hybridMultilevel"/>
    <w:lvl w:ilvl="0">
      <w:lvlJc w:val="left"/>
      <w:lvlText w:val="(%1)"/>
      <w:numFmt w:val="lowerLetter"/>
      <w:start w:val="1"/>
    </w:lvl>
  </w:abstractNum>
  <w:abstractNum w:abstractNumId="66">
    <w:nsid w:val="50801EE1"/>
    <w:multiLevelType w:val="hybridMultilevel"/>
    <w:lvl w:ilvl="0">
      <w:lvlJc w:val="left"/>
      <w:lvlText w:val="(%1)"/>
      <w:numFmt w:val="lowerLetter"/>
      <w:start w:val="4"/>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upperLetter"/>
      <w:start w:val="61"/>
    </w:lvl>
  </w:abstractNum>
  <w:abstractNum w:abstractNumId="69">
    <w:nsid w:val="6AA78F7F"/>
    <w:multiLevelType w:val="hybridMultilevel"/>
    <w:lvl w:ilvl="0">
      <w:lvlJc w:val="left"/>
      <w:lvlText w:val="(%1)"/>
      <w:numFmt w:val="lowerLetter"/>
      <w:start w:val="1"/>
    </w:lvl>
  </w:abstractNum>
  <w:abstractNum w:abstractNumId="70">
    <w:nsid w:val="7672BD23"/>
    <w:multiLevelType w:val="hybridMultilevel"/>
    <w:lvl w:ilvl="0">
      <w:lvlJc w:val="left"/>
      <w:lvlText w:val="(%1)"/>
      <w:numFmt w:val="lowerRoman"/>
      <w:start w:val="1"/>
    </w:lvl>
  </w:abstractNum>
  <w:abstractNum w:abstractNumId="71">
    <w:nsid w:val="6FC75AF8"/>
    <w:multiLevelType w:val="hybridMultilevel"/>
    <w:lvl w:ilvl="0">
      <w:lvlJc w:val="left"/>
      <w:lvlText w:val="%1"/>
      <w:numFmt w:val="upperLetter"/>
      <w:start w:val="1"/>
    </w:lvl>
    <w:lvl w:ilvl="1">
      <w:lvlJc w:val="left"/>
      <w:lvlText w:val="(%2)"/>
      <w:numFmt w:val="lowerRoman"/>
      <w:start w:val="7"/>
    </w:lvl>
  </w:abstractNum>
  <w:abstractNum w:abstractNumId="72">
    <w:nsid w:val="6A5F7029"/>
    <w:multiLevelType w:val="hybridMultilevel"/>
    <w:lvl w:ilvl="0">
      <w:lvlJc w:val="left"/>
      <w:lvlText w:val="(%1)"/>
      <w:numFmt w:val="upperLetter"/>
      <w:start w:val="3"/>
    </w:lvl>
    <w:lvl w:ilvl="1">
      <w:lvlJc w:val="left"/>
      <w:lvlText w:val="%2"/>
      <w:numFmt w:val="lowerRoman"/>
      <w:start w:val="1"/>
    </w:lvl>
  </w:abstractNum>
  <w:abstractNum w:abstractNumId="73">
    <w:nsid w:val="7D5E18F8"/>
    <w:multiLevelType w:val="hybridMultilevel"/>
    <w:lvl w:ilvl="0">
      <w:lvlJc w:val="left"/>
      <w:lvlText w:val="(%1)"/>
      <w:numFmt w:val="lowerRoman"/>
      <w:start w:val="14"/>
    </w:lvl>
  </w:abstractNum>
  <w:abstractNum w:abstractNumId="74">
    <w:nsid w:val="5F3534A4"/>
    <w:multiLevelType w:val="hybridMultilevel"/>
    <w:lvl w:ilvl="0">
      <w:lvlJc w:val="left"/>
      <w:lvlText w:val="(%1)"/>
      <w:numFmt w:val="lowerRoman"/>
      <w:start w:val="25"/>
    </w:lvl>
  </w:abstractNum>
  <w:abstractNum w:abstractNumId="75">
    <w:nsid w:val="73A1821B"/>
    <w:multiLevelType w:val="hybridMultilevel"/>
    <w:lvl w:ilvl="0">
      <w:lvlJc w:val="left"/>
      <w:lvlText w:val="(%1)"/>
      <w:numFmt w:val="lowerLetter"/>
      <w:start w:val="2"/>
    </w:lvl>
    <w:lvl w:ilvl="1">
      <w:lvlJc w:val="left"/>
      <w:lvlText w:val="(%2)"/>
      <w:numFmt w:val="lowerRoman"/>
      <w:start w:val="1"/>
    </w:lvl>
  </w:abstractNum>
  <w:abstractNum w:abstractNumId="76">
    <w:nsid w:val="7DE67713"/>
    <w:multiLevelType w:val="hybridMultilevel"/>
    <w:lvl w:ilvl="0">
      <w:lvlJc w:val="left"/>
      <w:lvlText w:val="%1"/>
      <w:numFmt w:val="lowerLetter"/>
      <w:start w:val="1"/>
    </w:lvl>
    <w:lvl w:ilvl="1">
      <w:lvlJc w:val="left"/>
      <w:lvlText w:val="(%2)"/>
      <w:numFmt w:val="lowerLetter"/>
      <w:start w:val="1"/>
    </w:lvl>
  </w:abstractNum>
  <w:abstractNum w:abstractNumId="77">
    <w:nsid w:val="555C55B5"/>
    <w:multiLevelType w:val="hybridMultilevel"/>
    <w:lvl w:ilvl="0">
      <w:lvlJc w:val="left"/>
      <w:lvlText w:val="(%1)"/>
      <w:numFmt w:val="lowerLetter"/>
      <w:start w:val="9"/>
    </w:lvl>
    <w:lvl w:ilvl="1">
      <w:lvlJc w:val="left"/>
      <w:lvlText w:val="%2"/>
      <w:numFmt w:val="lowerLetter"/>
      <w:start w:val="1"/>
    </w:lvl>
  </w:abstractNum>
  <w:abstractNum w:abstractNumId="78">
    <w:nsid w:val="3FA62ACA"/>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79">
    <w:nsid w:val="14FCE74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0">
    <w:nsid w:val="6A3DD3E8"/>
    <w:multiLevelType w:val="hybridMultilevel"/>
    <w:lvl w:ilvl="0">
      <w:lvlJc w:val="left"/>
      <w:lvlText w:val="(%1)"/>
      <w:numFmt w:val="lowerRoman"/>
      <w:start w:val="3"/>
    </w:lvl>
  </w:abstractNum>
  <w:abstractNum w:abstractNumId="81">
    <w:nsid w:val="71C91298"/>
    <w:multiLevelType w:val="hybridMultilevel"/>
    <w:lvl w:ilvl="0">
      <w:lvlJc w:val="left"/>
      <w:lvlText w:val="(%1)"/>
      <w:numFmt w:val="lowerLetter"/>
      <w:start w:val="1"/>
    </w:lvl>
  </w:abstractNum>
  <w:abstractNum w:abstractNumId="82">
    <w:nsid w:val="9DAF632"/>
    <w:multiLevelType w:val="hybridMultilevel"/>
    <w:lvl w:ilvl="0">
      <w:lvlJc w:val="left"/>
      <w:lvlText w:val="(%1)"/>
      <w:numFmt w:val="lowerLetter"/>
      <w:start w:val="1"/>
    </w:lvl>
  </w:abstractNum>
  <w:abstractNum w:abstractNumId="83">
    <w:nsid w:val="53299938"/>
    <w:multiLevelType w:val="hybridMultilevel"/>
    <w:lvl w:ilvl="0">
      <w:lvlJc w:val="left"/>
      <w:lvlText w:val="(%1)"/>
      <w:numFmt w:val="lowerLetter"/>
      <w:start w:val="1"/>
    </w:lvl>
  </w:abstractNum>
  <w:abstractNum w:abstractNumId="84">
    <w:nsid w:val="1FBFE8E0"/>
    <w:multiLevelType w:val="hybridMultilevel"/>
    <w:lvl w:ilvl="0">
      <w:lvlJc w:val="left"/>
      <w:lvlText w:val="(%1)"/>
      <w:numFmt w:val="lowerLetter"/>
      <w:start w:val="1"/>
    </w:lvl>
  </w:abstractNum>
  <w:abstractNum w:abstractNumId="85">
    <w:nsid w:val="5092CA79"/>
    <w:multiLevelType w:val="hybridMultilevel"/>
    <w:lvl w:ilvl="0">
      <w:lvlJc w:val="left"/>
      <w:lvlText w:val="(%1)"/>
      <w:numFmt w:val="lowerLetter"/>
      <w:start w:val="2"/>
    </w:lvl>
  </w:abstractNum>
  <w:abstractNum w:abstractNumId="86">
    <w:nsid w:val="1D545C4D"/>
    <w:multiLevelType w:val="hybridMultilevel"/>
    <w:lvl w:ilvl="0">
      <w:lvlJc w:val="left"/>
      <w:lvlText w:val="(%1)"/>
      <w:numFmt w:val="lowerLetter"/>
      <w:start w:val="1"/>
    </w:lvl>
  </w:abstractNum>
  <w:abstractNum w:abstractNumId="87">
    <w:nsid w:val="59ADEA3D"/>
    <w:multiLevelType w:val="hybridMultilevel"/>
    <w:lvl w:ilvl="0">
      <w:lvlJc w:val="left"/>
      <w:lvlText w:val="(%1)"/>
      <w:numFmt w:val="lowerLetter"/>
      <w:start w:val="3"/>
    </w:lvl>
  </w:abstractNum>
  <w:abstractNum w:abstractNumId="88">
    <w:nsid w:val="288F1A34"/>
    <w:multiLevelType w:val="hybridMultilevel"/>
    <w:lvl w:ilvl="0">
      <w:lvlJc w:val="left"/>
      <w:lvlText w:val="(%1)"/>
      <w:numFmt w:val="lowerLetter"/>
      <w:start w:val="1"/>
    </w:lvl>
  </w:abstractNum>
  <w:abstractNum w:abstractNumId="89">
    <w:nsid w:val="2A155DBC"/>
    <w:multiLevelType w:val="hybridMultilevel"/>
    <w:lvl w:ilvl="0">
      <w:lvlJc w:val="left"/>
      <w:lvlText w:val="(%1)"/>
      <w:numFmt w:val="upperLetter"/>
      <w:start w:val="2"/>
    </w:lvl>
  </w:abstractNum>
  <w:abstractNum w:abstractNumId="90">
    <w:nsid w:val="1D9F6E5F"/>
    <w:multiLevelType w:val="hybridMultilevel"/>
    <w:lvl w:ilvl="0">
      <w:lvlJc w:val="left"/>
      <w:lvlText w:val="(%1)"/>
      <w:numFmt w:val="lowerLetter"/>
      <w:start w:val="1"/>
    </w:lvl>
  </w:abstractNum>
  <w:abstractNum w:abstractNumId="91">
    <w:nsid w:val="97E1B4E"/>
    <w:multiLevelType w:val="hybridMultilevel"/>
    <w:lvl w:ilvl="0">
      <w:lvlJc w:val="left"/>
      <w:lvlText w:val="%1"/>
      <w:numFmt w:val="upperLetter"/>
      <w:start w:val="1"/>
    </w:lvl>
    <w:lvl w:ilvl="1">
      <w:lvlJc w:val="left"/>
      <w:lvlText w:val="(%2)"/>
      <w:numFmt w:val="lowerLetter"/>
      <w:start w:val="2"/>
    </w:lvl>
  </w:abstractNum>
  <w:abstractNum w:abstractNumId="92">
    <w:nsid w:val="51088277"/>
    <w:multiLevelType w:val="hybridMultilevel"/>
    <w:lvl w:ilvl="0">
      <w:lvlJc w:val="left"/>
      <w:lvlText w:val="(%1)"/>
      <w:numFmt w:val="upperLetter"/>
      <w:start w:val="2"/>
    </w:lvl>
    <w:lvl w:ilvl="1">
      <w:lvlJc w:val="left"/>
      <w:lvlText w:val="(%2)"/>
      <w:numFmt w:val="lowerLetter"/>
      <w:start w:val="3"/>
    </w:lvl>
  </w:abstractNum>
  <w:abstractNum w:abstractNumId="93">
    <w:nsid w:val="1CA0C5FA"/>
    <w:multiLevelType w:val="hybridMultilevel"/>
    <w:lvl w:ilvl="0">
      <w:lvlJc w:val="left"/>
      <w:lvlText w:val="(%1)"/>
      <w:numFmt w:val="lowerLetter"/>
      <w:start w:val="5"/>
    </w:lvl>
  </w:abstractNum>
  <w:abstractNum w:abstractNumId="94">
    <w:nsid w:val="53584BCB"/>
    <w:multiLevelType w:val="hybridMultilevel"/>
    <w:lvl w:ilvl="0">
      <w:lvlJc w:val="left"/>
      <w:lvlText w:val="(%1)"/>
      <w:numFmt w:val="lowerLetter"/>
      <w:start w:val="1"/>
    </w:lvl>
  </w:abstractNum>
  <w:abstractNum w:abstractNumId="95">
    <w:nsid w:val="415E286C"/>
    <w:multiLevelType w:val="hybridMultilevel"/>
    <w:lvl w:ilvl="0">
      <w:lvlJc w:val="left"/>
      <w:lvlText w:val="%1"/>
      <w:numFmt w:val="lowerLetter"/>
      <w:start w:val="1"/>
    </w:lvl>
    <w:lvl w:ilvl="1">
      <w:lvlJc w:val="left"/>
      <w:lvlText w:val="(%2)"/>
      <w:numFmt w:val="lowerLetter"/>
      <w:start w:val="2"/>
    </w:lvl>
  </w:abstractNum>
  <w:abstractNum w:abstractNumId="96">
    <w:nsid w:val="7C58FD05"/>
    <w:multiLevelType w:val="hybridMultilevel"/>
    <w:lvl w:ilvl="0">
      <w:lvlJc w:val="left"/>
      <w:lvlText w:val="(%1)"/>
      <w:numFmt w:val="lowerLetter"/>
      <w:start w:val="2"/>
    </w:lvl>
    <w:lvl w:ilvl="1">
      <w:lvlJc w:val="left"/>
      <w:lvlText w:val="%2"/>
      <w:numFmt w:val="lowerLetter"/>
      <w:start w:val="1"/>
    </w:lvl>
  </w:abstractNum>
  <w:abstractNum w:abstractNumId="97">
    <w:nsid w:val="23D86AAC"/>
    <w:multiLevelType w:val="hybridMultilevel"/>
    <w:lvl w:ilvl="0">
      <w:lvlJc w:val="left"/>
      <w:lvlText w:val="(%1)"/>
      <w:numFmt w:val="lowerLetter"/>
      <w:start w:val="6"/>
    </w:lvl>
  </w:abstractNum>
  <w:abstractNum w:abstractNumId="98">
    <w:nsid w:val="45E6D486"/>
    <w:multiLevelType w:val="hybridMultilevel"/>
    <w:lvl w:ilvl="0">
      <w:lvlJc w:val="left"/>
      <w:lvlText w:val="(%1)"/>
      <w:numFmt w:val="lowerLetter"/>
      <w:start w:val="12"/>
    </w:lvl>
  </w:abstractNum>
  <w:abstractNum w:abstractNumId="99">
    <w:nsid w:val="5C10FE21"/>
    <w:multiLevelType w:val="hybridMultilevel"/>
    <w:lvl w:ilvl="0">
      <w:lvlJc w:val="left"/>
      <w:lvlText w:val="(%1)"/>
      <w:numFmt w:val="lowerLetter"/>
      <w:start w:val="1"/>
    </w:lvl>
  </w:abstractNum>
  <w:abstractNum w:abstractNumId="100">
    <w:nsid w:val="E7FFA2B"/>
    <w:multiLevelType w:val="hybridMultilevel"/>
    <w:lvl w:ilvl="0">
      <w:lvlJc w:val="left"/>
      <w:lvlText w:val="(%1)"/>
      <w:numFmt w:val="lowerLetter"/>
      <w:start w:val="2"/>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61"/>
    </w:lvl>
    <w:lvl w:ilvl="1">
      <w:lvlJc w:val="left"/>
      <w:lvlText w:val="(%2)"/>
      <w:numFmt w:val="lowerLetter"/>
      <w:start w:val="2"/>
    </w:lvl>
  </w:abstractNum>
  <w:abstractNum w:abstractNumId="103">
    <w:nsid w:val="78DF6A5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4">
    <w:nsid w:val="39B7AAA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105">
    <w:nsid w:val="2B0D8DB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6">
    <w:nsid w:val="6C80EC70"/>
    <w:multiLevelType w:val="hybridMultilevel"/>
    <w:lvl w:ilvl="0">
      <w:lvlJc w:val="left"/>
      <w:lvlText w:val="(%1)"/>
      <w:numFmt w:val="lowerLetter"/>
      <w:start w:val="4"/>
    </w:lvl>
    <w:lvl w:ilvl="1">
      <w:lvlJc w:val="left"/>
      <w:lvlText w:val="(%2)"/>
      <w:numFmt w:val="lowerRoman"/>
      <w:start w:val="1"/>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3"/>
    </w:lvl>
  </w:abstractNum>
  <w:abstractNum w:abstractNumId="109">
    <w:nsid w:val="2C27173B"/>
    <w:multiLevelType w:val="hybridMultilevel"/>
    <w:lvl w:ilvl="0">
      <w:lvlJc w:val="left"/>
      <w:lvlText w:val="(%1)"/>
      <w:numFmt w:val="lowerLetter"/>
      <w:start w:val="1"/>
    </w:lvl>
    <w:lvl w:ilvl="1">
      <w:lvlJc w:val="left"/>
      <w:lvlText w:val="(%2)"/>
      <w:numFmt w:val="lowerRoman"/>
      <w:start w:val="1"/>
    </w:lvl>
  </w:abstractNum>
  <w:abstractNum w:abstractNumId="110">
    <w:nsid w:val="4C9B0904"/>
    <w:multiLevelType w:val="hybridMultilevel"/>
    <w:lvl w:ilvl="0">
      <w:lvlJc w:val="left"/>
      <w:lvlText w:val="(%1)"/>
      <w:numFmt w:val="lowerRoman"/>
      <w:start w:val="2"/>
    </w:lvl>
  </w:abstractNum>
  <w:abstractNum w:abstractNumId="111">
    <w:nsid w:val="6AA7B75C"/>
    <w:multiLevelType w:val="hybridMultilevel"/>
    <w:lvl w:ilvl="0">
      <w:lvlJc w:val="left"/>
      <w:lvlText w:val="(%1)"/>
      <w:numFmt w:val="lowerLetter"/>
      <w:start w:val="2"/>
    </w:lvl>
    <w:lvl w:ilvl="1">
      <w:lvlJc w:val="left"/>
      <w:lvlText w:val="(%2)"/>
      <w:numFmt w:val="lowerRoman"/>
      <w:start w:val="1"/>
    </w:lvl>
  </w:abstractNum>
  <w:abstractNum w:abstractNumId="112">
    <w:nsid w:val="1DF029D3"/>
    <w:multiLevelType w:val="hybridMultilevel"/>
    <w:lvl w:ilvl="0">
      <w:lvlJc w:val="left"/>
      <w:lvlText w:val="(%1)"/>
      <w:numFmt w:val="lowerLetter"/>
      <w:start w:val="3"/>
    </w:lvl>
  </w:abstractNum>
  <w:abstractNum w:abstractNumId="113">
    <w:nsid w:val="5675FF36"/>
    <w:multiLevelType w:val="hybridMultilevel"/>
    <w:lvl w:ilvl="0">
      <w:lvlJc w:val="left"/>
      <w:lvlText w:val="(%1)"/>
      <w:numFmt w:val="lowerLetter"/>
      <w:start w:val="4"/>
    </w:lvl>
  </w:abstractNum>
  <w:abstractNum w:abstractNumId="114">
    <w:nsid w:val="3DD15094"/>
    <w:multiLevelType w:val="hybridMultilevel"/>
    <w:lvl w:ilvl="0">
      <w:lvlJc w:val="left"/>
      <w:lvlText w:val="(%1)"/>
      <w:numFmt w:val="lowerRoman"/>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12"/>
    </w:lvl>
  </w:abstractNum>
  <w:abstractNum w:abstractNumId="117">
    <w:nsid w:val="5B25ACE2"/>
    <w:multiLevelType w:val="hybridMultilevel"/>
    <w:lvl w:ilvl="0">
      <w:lvlJc w:val="left"/>
      <w:lvlText w:val="(%1)"/>
      <w:numFmt w:val="lowerLetter"/>
      <w:start w:val="22"/>
    </w:lvl>
  </w:abstractNum>
  <w:abstractNum w:abstractNumId="118">
    <w:nsid w:val="175DFCF0"/>
    <w:multiLevelType w:val="hybridMultilevel"/>
    <w:lvl w:ilvl="0">
      <w:lvlJc w:val="left"/>
      <w:lvlText w:val="%1"/>
      <w:numFmt w:val="lowerLetter"/>
      <w:start w:val="1"/>
    </w:lvl>
    <w:lvl w:ilvl="1">
      <w:lvlJc w:val="left"/>
      <w:lvlText w:val="(%2)"/>
      <w:numFmt w:val="lowerLetter"/>
      <w:start w:val="27"/>
    </w:lvl>
  </w:abstractNum>
  <w:abstractNum w:abstractNumId="119">
    <w:nsid w:val="4F97E3E4"/>
    <w:multiLevelType w:val="hybridMultilevel"/>
    <w:lvl w:ilvl="0">
      <w:lvlJc w:val="left"/>
      <w:lvlText w:val="(%1)"/>
      <w:numFmt w:val="lowerLetter"/>
      <w:start w:val="61"/>
    </w:lvl>
    <w:lvl w:ilvl="1">
      <w:lvlJc w:val="left"/>
      <w:lvlText w:val="%2"/>
      <w:numFmt w:val="lowerLetter"/>
      <w:start w:val="1"/>
    </w:lvl>
  </w:abstractNum>
  <w:abstractNum w:abstractNumId="120">
    <w:nsid w:val="53B0A9E"/>
    <w:multiLevelType w:val="hybridMultilevel"/>
    <w:lvl w:ilvl="0">
      <w:lvlJc w:val="left"/>
      <w:lvlText w:val="(%1)"/>
      <w:numFmt w:val="lowerLetter"/>
      <w:start w:val="31"/>
    </w:lvl>
  </w:abstractNum>
  <w:abstractNum w:abstractNumId="121">
    <w:nsid w:val="34FD6B4F"/>
    <w:multiLevelType w:val="hybridMultilevel"/>
    <w:lvl w:ilvl="0">
      <w:lvlJc w:val="left"/>
      <w:lvlText w:val="%1"/>
      <w:numFmt w:val="lowerLetter"/>
      <w:start w:val="1"/>
    </w:lvl>
    <w:lvl w:ilvl="1">
      <w:lvlJc w:val="left"/>
      <w:lvlText w:val="(%2)"/>
      <w:numFmt w:val="lowerLetter"/>
      <w:start w:val="35"/>
    </w:lvl>
  </w:abstractNum>
  <w:abstractNum w:abstractNumId="122">
    <w:nsid w:val="5915FF32"/>
    <w:multiLevelType w:val="hybridMultilevel"/>
    <w:lvl w:ilvl="0">
      <w:lvlJc w:val="left"/>
      <w:lvlText w:val="(%1)"/>
      <w:numFmt w:val="lowerLetter"/>
      <w:start w:val="2"/>
    </w:lvl>
    <w:lvl w:ilvl="1">
      <w:lvlJc w:val="left"/>
      <w:lvlText w:val="(%2)"/>
      <w:numFmt w:val="lowerLetter"/>
      <w:start w:val="37"/>
    </w:lvl>
  </w:abstractNum>
  <w:abstractNum w:abstractNumId="123">
    <w:nsid w:val="56438D15"/>
    <w:multiLevelType w:val="hybridMultilevel"/>
    <w:lvl w:ilvl="0">
      <w:lvlJc w:val="left"/>
      <w:lvlText w:val="(%1)"/>
      <w:numFmt w:val="lowerLetter"/>
      <w:start w:val="42"/>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2026-06-02T05:15:24Z</dcterms:created>
  <dcterms:modified xsi:type="dcterms:W3CDTF">2026-06-02T05:15:24Z</dcterms:modified>
</cp:coreProperties>
</file>