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following email was sent to suppliers of NCS Multistage Holdings, Inc. on June 1, 2026:</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NCS Multistage to Combine with Weatherford</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[NAME],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Filed by NCS Multistage Holdings,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No. 001-38071)</w:t>
      </w:r>
    </w:p>
    <w:p>
      <w:pPr>
        <w:spacing w:after="0" w:line="9" w:lineRule="exact"/>
        <w:rPr>
          <w:sz w:val="24"/>
          <w:szCs w:val="24"/>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Pursuant to Rule 425 under the Securities Act of 1933 and deemed filed pursuant to Rule 14a-12</w:t>
      </w:r>
    </w:p>
    <w:p>
      <w:pPr>
        <w:spacing w:after="0" w:line="1" w:lineRule="exact"/>
        <w:rPr>
          <w:sz w:val="24"/>
          <w:szCs w:val="24"/>
          <w:color w:val="auto"/>
        </w:rPr>
      </w:pPr>
    </w:p>
    <w:p>
      <w:pPr>
        <w:ind w:right="400"/>
        <w:spacing w:after="0" w:line="255" w:lineRule="auto"/>
        <w:rPr>
          <w:sz w:val="20"/>
          <w:szCs w:val="20"/>
          <w:color w:val="auto"/>
        </w:rPr>
      </w:pPr>
      <w:r>
        <w:rPr>
          <w:rFonts w:ascii="Times New Roman" w:cs="Times New Roman" w:eastAsia="Times New Roman" w:hAnsi="Times New Roman"/>
          <w:sz w:val="18"/>
          <w:szCs w:val="18"/>
          <w:color w:val="auto"/>
        </w:rPr>
        <w:t>under the Securities Exchange Act of 1934 Subject Company: NCS Multistage Holdings, Inc. (Commission File No. 001-38071)</w:t>
      </w:r>
    </w:p>
    <w:p>
      <w:pPr>
        <w:spacing w:after="0" w:line="1362" w:lineRule="exact"/>
        <w:rPr>
          <w:sz w:val="24"/>
          <w:szCs w:val="24"/>
          <w:color w:val="auto"/>
        </w:rPr>
      </w:pPr>
    </w:p>
    <w:p>
      <w:pPr>
        <w:sectPr>
          <w:pgSz w:w="11900" w:h="16838" w:orient="portrait"/>
          <w:cols w:equalWidth="0" w:num="2">
            <w:col w:w="6720" w:space="220"/>
            <w:col w:w="4020"/>
          </w:cols>
          <w:pgMar w:left="440" w:top="229" w:right="499" w:bottom="1440" w:gutter="0" w:footer="0" w:header="0"/>
        </w:sectPr>
      </w:pPr>
    </w:p>
    <w:p>
      <w:pPr>
        <w:spacing w:after="0" w:line="25"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 am writing with an important update about NCS Multistage. Today, we announced that NCS has agreed to be acquired by Weatherford International plc in a transaction consisting of cash and stock. You can read the joint press release here:</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https://ir.ncsmultistage.com/news-releases/news-release-details/weatherford-announces-definitive-agreement-acquire-ncs</w:t>
      </w:r>
    </w:p>
    <w:p>
      <w:pPr>
        <w:spacing w:after="0" w:line="225" w:lineRule="exact"/>
        <w:rPr>
          <w:sz w:val="24"/>
          <w:szCs w:val="24"/>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you likely know, Weatherford is a leading global energy services company with a deep product and services portfolio across drilling, well construction, completions, and production, and an international footprint that spans dozens of countries. We believe this combination will allow us to deliver an even broader, more integrated set of solutions to customers across the full life of the well — supported by Weatherford’s scale, technology, and global reach.</w:t>
      </w:r>
    </w:p>
    <w:p>
      <w:pPr>
        <w:spacing w:after="0" w:line="180"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Until the transaction closes, which we currently expect in the second half of 2026, subject to certain customary closing conditions, including regulatory approvals, NCS and Weatherford will continue to operate as separate, independent companies. This applies equally across NCS, Repeat Precision, and ResMetrics, each will continue to operate under its current name with the same teams. Importantly, there will be no changes to the way we work with you as a result of the pending transaction. Your day-to-day contacts remain the same, and you should continue to send all invoices to the same groups as you do today.</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please reach out to me or to your regular contact at [</w:t>
      </w:r>
      <w:r>
        <w:rPr>
          <w:rFonts w:ascii="Times New Roman" w:cs="Times New Roman" w:eastAsia="Times New Roman" w:hAnsi="Times New Roman"/>
          <w:sz w:val="18"/>
          <w:szCs w:val="18"/>
          <w:color w:val="auto"/>
          <w:shd w:val="clear" w:color="auto" w:fill="FAE817"/>
        </w:rPr>
        <w:t>[NCS][Repeat Precision][ResMetrics]</w:t>
      </w:r>
      <w:r>
        <w:rPr>
          <w:rFonts w:ascii="Times New Roman" w:cs="Times New Roman" w:eastAsia="Times New Roman" w:hAnsi="Times New Roman"/>
          <w:sz w:val="18"/>
          <w:szCs w:val="18"/>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partnership and we look forward to continuing to work together.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Best regards,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4"/>
          <w:szCs w:val="24"/>
          <w:color w:val="auto"/>
        </w:rPr>
      </w:pPr>
    </w:p>
    <w:p>
      <w:pPr>
        <w:jc w:val="both"/>
        <w:ind w:right="680"/>
        <w:spacing w:after="0" w:line="266" w:lineRule="auto"/>
        <w:rPr>
          <w:sz w:val="20"/>
          <w:szCs w:val="20"/>
          <w:color w:val="auto"/>
        </w:rPr>
      </w:pPr>
      <w:r>
        <w:rPr>
          <w:rFonts w:ascii="Times New Roman" w:cs="Times New Roman" w:eastAsia="Times New Roman" w:hAnsi="Times New Roman"/>
          <w:sz w:val="18"/>
          <w:szCs w:val="18"/>
          <w:color w:val="auto"/>
        </w:rPr>
        <w:t>This communication includes statements, which, to the extent they are not statements of historical or present fact, constitute “forward-looking statements” within the meaning of the U.S. Private Securities Litigation Reform Act of 1995. Forward-looking statements, and any related oral statements, can be identified by the use of terms such as “believe,” “project,” “expect,” “anticipate,” “estimate,” “outlook,”</w:t>
      </w:r>
    </w:p>
    <w:p>
      <w:pPr>
        <w:sectPr>
          <w:pgSz w:w="11900" w:h="16838" w:orient="portrait"/>
          <w:cols w:equalWidth="0" w:num="1">
            <w:col w:w="10960"/>
          </w:cols>
          <w:pgMar w:left="440" w:top="229" w:right="499" w:bottom="1440" w:gutter="0" w:footer="0" w:header="0"/>
          <w:type w:val="continuous"/>
        </w:sectPr>
      </w:pPr>
    </w:p>
    <w:bookmarkStart w:id="1" w:name="page2"/>
    <w:bookmarkEnd w:id="1"/>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“budget,” “intend,” “strategy,” “plan,” “guidance,” “may,” “should,” “could,” “will,” “would,” “will be,” “will continue,” “will likely result,” and similar expressions, although not all forward-looking statements contain these identifying words. These statements include, but are not limited to, statements about the expected timing and completion of the proposed transaction between Weatherford International plc (“Weatherford”) and NCS Multistage Holdings, Inc. (“NCS Multistage”), the anticipated benefits of the proposed transaction, and plans and expectations for the new combined company after the completion of the proposed transaction. Such statements are based upon the current beliefs of Weatherford’s and NCS Multistage’s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estimates and may differ materially from actual future events or results, based on factors including but not limited to the ability to complete the proposed transaction on the timeframe or on the terms currently anticipated or at all, including due to a failure to obtain requisite regulatory approvals; risks related to difficulties, inabilities or delays in integrating the parties’ businesses; the ability to realize the anticipated benefits of the proposed transaction, including estimated synergies; the occurrence of any event, change or other circumstance that could give rise to the right of either or both parties to terminate the Merger Agreement; the potential impact of the announcement or consummation of the proposed transaction on the parties’ stock price and on their respective business, contractual and operational relationships; risks related to business disruptions from the proposed transaction that may harm the business or current plans and operations of either or both parties, including diversion of management time from ongoing business operations; the risk that the proposed transaction and its announcement could have an adverse effect on the ability of either or both parties to hire and retain key personnel; the outcome of any legal proceedings that may be instituted against Weatherford or NCS Multistage, or their respective directors; the possibility that the proposed transaction may be more expensive to complete than anticipated, including as a result of unexpected factors or events, or unforeseen or unknown liabilities; as well as the factors and risks described in Weatherford’s Annual Report on Form 10-K for the year ended December 31, 2025 and NCS Multistage’s Annual Report on Form 10-K for the year ended December 31, 2025, and, in each case, in subsequent filings with the U.S. Securities and Exchange Commission. Other unpredictable factors not discussed in this communication could also have material adverse effects on forward-looking statements. You should not place undue reliance on any of NCS Multistage’s forward-looking statements.</w:t>
      </w:r>
    </w:p>
    <w:p>
      <w:pPr>
        <w:spacing w:after="0" w:line="20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such statement is made, and NCS Multistage undertakes no obligation to correct or update any forward-looking statement, whether as a result of new information, future events or otherwise, except as required by applicable law, and we caution you not to rely on them unduly.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communication is not intended to and shall not constitute an offer to sell or the solicitation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(the “Securities Act”), or in a transaction exempt from the registration requirements of the Securities Act.</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About the Transaction and Where to Find It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Weatherford intends to file a registration statement on Form S-4 (the “Form S-4”) that also constitutes a prospectus of Weatherford with respect to the shares of Weatherford to be issued in the proposed transaction (the “prospectus”) and NCS Multistage intends to file an information statement on Schedule 14C, with the Securities and Exchange Commission (the “SEC”). Each of Weatherford and NCS Multistage may also file other relevant documents with the SEC regarding the proposed transaction. This document is not a substitute for the Form S-4 or prospectus or any other document that Weatherford or NCS Multistage may file with the SEC. INVESTORS AND SECURITY HOLDERS ARE URGED TO READ THE REGISTRATION STATEMENT, THE INFORMATION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information statement/prospectus (if and when available) and other documents containing important information about Weatherford, NCS Multistage and the proposed transaction, once such documents are filed with the SEC through the website maintained by the SEC at http://www.sec.gov. Copies of the documents filed with, or furnished to, the SEC by Weatherford will be available free of charge on Weatherford’s website at https://weatherford.com/investor-relations/home. Copies of the documents filed with, or furnished to, the SEC by NCS Multistage will be available free of charge on NCS Multistage’s website at https://ir.ncsmultistage.com. The information included on, or accessible through, Weatherford’s or NCS Multistage’s website is not incorporated by reference into this communication.</w:t>
      </w:r>
    </w:p>
    <w:sectPr>
      <w:pgSz w:w="11900" w:h="16838" w:orient="portrait"/>
      <w:cols w:equalWidth="0" w:num="1">
        <w:col w:w="10920"/>
      </w:cols>
      <w:pgMar w:left="440"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2026-06-02T05:18:22Z</dcterms:created>
  <dcterms:modified xsi:type="dcterms:W3CDTF">2026-06-02T05:18:22Z</dcterms:modified>
</cp:coreProperties>
</file>