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500" w:right="1620" w:hanging="1536"/>
        <w:spacing w:after="0" w:line="261" w:lineRule="auto"/>
        <w:tabs>
          <w:tab w:leader="none" w:pos="51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by NCS Multistage Holdings, Inc. (Commission File No. 001-38071)</w:t>
      </w:r>
    </w:p>
    <w:p>
      <w:pPr>
        <w:ind w:left="6500" w:right="6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425 under the Securities Act of 1933 and deemed filed pursuant to Rule 14a-12</w:t>
      </w:r>
    </w:p>
    <w:p>
      <w:pPr>
        <w:ind w:left="6500" w:right="8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Exchange Act of 1934 Subject Company: NCS Multistage Holdings, Inc. (Commission File No. 001-38071)</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email was sent to employees of NCS Multistage Holdings, Inc. on June 1, 2026:</w:t>
      </w:r>
    </w:p>
    <w:p>
      <w:pPr>
        <w:spacing w:after="0" w:line="1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World Headquarters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979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spacing w:after="0" w:line="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Houston, TX 77070</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color w:val="auto"/>
        </w:rPr>
        <w:t>ncsmultistage.com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June 1, 2026, we announced that NCS Multistage has entered into a definitive agreement to be acquired by Weatherford International. Because you hold long-term incentive (LTI) awards, I wanted to walk you through what this means for those awards—both during the period between signing and closing, and after the transaction closes. The descriptions of post-closing treatment below assume the transaction closes; closing is not guaranteed and remains subject to the satisfaction of customary conditions, including required regulatory approvals.</w:t>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 signing and closing</w:t>
      </w:r>
    </w:p>
    <w:p>
      <w:pPr>
        <w:spacing w:after="0" w:line="121"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Your LTI awards continue to vest on their existing schedules. As always, if you are subject to our quarterly blackout windows or to preclearance, those requirements continue to apply, and you may not trade while in possession of material non-public information. Please keep in mind that awareness of the transaction, or of its status or timing, may itself constitute material non-public information.</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the transaction closes</w:t>
      </w:r>
    </w:p>
    <w:p>
      <w:pPr>
        <w:spacing w:after="0" w:line="121" w:lineRule="exact"/>
        <w:rPr>
          <w:sz w:val="24"/>
          <w:szCs w:val="24"/>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If and when the transaction closes, your outstanding LTI awards will be assumed by Weatherford and converted into awards covering Weatherford shares, using the share exchange ratio set in the merger agreement (0.5537 Weatherford share for every NCS share). In general terms (as applicable):</w:t>
      </w:r>
    </w:p>
    <w:p>
      <w:pPr>
        <w:spacing w:after="0" w:line="41" w:lineRule="exact"/>
        <w:rPr>
          <w:sz w:val="24"/>
          <w:szCs w:val="24"/>
          <w:color w:val="auto"/>
        </w:rPr>
      </w:pPr>
    </w:p>
    <w:p>
      <w:pPr>
        <w:ind w:left="960" w:right="320" w:hanging="424"/>
        <w:spacing w:after="0" w:line="28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(RSUs). </w:t>
      </w:r>
      <w:r>
        <w:rPr>
          <w:rFonts w:ascii="Times New Roman" w:cs="Times New Roman" w:eastAsia="Times New Roman" w:hAnsi="Times New Roman"/>
          <w:sz w:val="18"/>
          <w:szCs w:val="18"/>
          <w:color w:val="auto"/>
        </w:rPr>
        <w:t>Your RSUs will be assumed by Weatherford and converted into RSUs payable in Weatherford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share exchange ratio. Your existing vesting schedule and other terms carry over.</w:t>
      </w:r>
    </w:p>
    <w:p>
      <w:pPr>
        <w:spacing w:after="0" w:line="60" w:lineRule="exact"/>
        <w:rPr>
          <w:rFonts w:ascii="Times New Roman" w:cs="Times New Roman" w:eastAsia="Times New Roman" w:hAnsi="Times New Roman"/>
          <w:sz w:val="18"/>
          <w:szCs w:val="18"/>
          <w:color w:val="auto"/>
        </w:rPr>
      </w:pPr>
    </w:p>
    <w:p>
      <w:pPr>
        <w:ind w:left="960" w:right="100" w:hanging="424"/>
        <w:spacing w:after="0" w:line="259"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Equivalent Stock Units (ESUs). </w:t>
      </w:r>
      <w:r>
        <w:rPr>
          <w:rFonts w:ascii="Times New Roman" w:cs="Times New Roman" w:eastAsia="Times New Roman" w:hAnsi="Times New Roman"/>
          <w:sz w:val="18"/>
          <w:szCs w:val="18"/>
          <w:color w:val="auto"/>
        </w:rPr>
        <w:t>Your ESUs will be assumed by Weatherford and converted into RSUs payable in Weatherford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share exchange ratio. Your existing vesting schedule and other terms carry over, with two changes that result in a net benefit. First, your ESUs convert into equity-settled awards (RSUs, settled in Weatherford shares) rather than cash-settled awards. Second, the maximum value cap on your ESUs will be removed upon conversion. By way of reference, the cap was $30.78 per share for the March 2024 grant, $57.62 per share for the March 2025 grant, $61.34 for the July 2025 grant, and $77.62 for the March 2026 grant.</w:t>
      </w:r>
    </w:p>
    <w:p>
      <w:pPr>
        <w:sectPr>
          <w:pgSz w:w="11900" w:h="16838" w:orient="portrait"/>
          <w:cols w:equalWidth="0" w:num="1">
            <w:col w:w="11000"/>
          </w:cols>
          <w:pgMar w:left="440" w:top="229" w:right="459" w:bottom="1440" w:gutter="0" w:footer="0" w:header="0"/>
        </w:sectPr>
      </w:pPr>
    </w:p>
    <w:bookmarkStart w:id="1" w:name="page2"/>
    <w:bookmarkEnd w:id="1"/>
    <w:p>
      <w:pPr>
        <w:ind w:left="1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9795"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Houston, TX 77070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ncsmultistage.com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rules continue to apply</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This is important: both before and after closing, you remain subject to insider trading laws and to our insider trading policy. You may not trade in NCS stock—or, after closing, in Weatherford stock—while you are aware of material non-public information. If you have any questions about whether you are clear to trade, please reach out before you act.</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letter is a summary of the anticipated treatment of certain LTI awards, including the awards described above, and does not modify the terms of your LTI awards or the transaction. The terms of the transaction and your LTI awards are governed by the merger agreement, your applicable award agreements, and the NCS long-term incentive plan. In the event of any discrepancy between this letter and those documents, those documents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questions about your specific awards, please contact Ori Lev. I know this is a lot to absorb, and we’re here to help.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 Lev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 “budget,”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International plc (“Weatherford”) and NCS Multistage Holdings, Inc.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w:t>
      </w:r>
    </w:p>
    <w:p>
      <w:pPr>
        <w:sectPr>
          <w:pgSz w:w="11900" w:h="16838" w:orient="portrait"/>
          <w:cols w:equalWidth="0" w:num="1">
            <w:col w:w="10980"/>
          </w:cols>
          <w:pgMar w:left="440" w:top="270" w:right="479" w:bottom="1440" w:gutter="0" w:footer="0" w:header="0"/>
        </w:sectPr>
      </w:pPr>
    </w:p>
    <w:bookmarkStart w:id="2" w:name="page3"/>
    <w:bookmarkEnd w:id="2"/>
    <w:p>
      <w:pPr>
        <w:ind w:left="1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97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Houston, TX 77070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ncsmultistage.com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NCS Multistage’s forward-looking statements.</w:t>
      </w:r>
    </w:p>
    <w:p>
      <w:pPr>
        <w:spacing w:after="0" w:line="19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NCS Multistage undertakes no obligation to correct or update any forward-looking statement, whether as a result of new information, future events or otherwise, except as required by applicable law, and we caution you not to rely on them unduly.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ectPr>
          <w:pgSz w:w="11900" w:h="16838" w:orient="portrait"/>
          <w:cols w:equalWidth="0" w:num="1">
            <w:col w:w="10980"/>
          </w:cols>
          <w:pgMar w:left="440" w:top="270" w:right="479" w:bottom="1440" w:gutter="0" w:footer="0" w:header="0"/>
        </w:sectPr>
      </w:pPr>
    </w:p>
    <w:bookmarkStart w:id="3" w:name="page4"/>
    <w:bookmarkEnd w:id="3"/>
    <w:p>
      <w:pPr>
        <w:ind w:left="1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World Headquarters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99795"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19350 State Highway 249, Suite 600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Houston, TX 77070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ncsmultistage.com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2026-06-02T05:10:46Z</dcterms:created>
  <dcterms:modified xsi:type="dcterms:W3CDTF">2026-06-02T05:10:46Z</dcterms:modified>
</cp:coreProperties>
</file>