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400"/>
        <w:spacing w:after="0"/>
        <w:rPr>
          <w:sz w:val="20"/>
          <w:szCs w:val="20"/>
          <w:color w:val="auto"/>
        </w:rPr>
      </w:pPr>
      <w:r>
        <w:rPr>
          <w:rFonts w:ascii="Times New Roman" w:cs="Times New Roman" w:eastAsia="Times New Roman" w:hAnsi="Times New Roman"/>
          <w:sz w:val="18"/>
          <w:szCs w:val="18"/>
          <w:color w:val="auto"/>
        </w:rPr>
        <w:t>Filed by NCS Multistage Holdings, Inc.</w:t>
      </w:r>
    </w:p>
    <w:p>
      <w:pPr>
        <w:spacing w:after="0" w:line="27" w:lineRule="exact"/>
        <w:rPr>
          <w:sz w:val="24"/>
          <w:szCs w:val="24"/>
          <w:color w:val="auto"/>
        </w:rPr>
      </w:pPr>
    </w:p>
    <w:p>
      <w:pPr>
        <w:ind w:left="6400"/>
        <w:spacing w:after="0"/>
        <w:rPr>
          <w:sz w:val="20"/>
          <w:szCs w:val="20"/>
          <w:color w:val="auto"/>
        </w:rPr>
      </w:pPr>
      <w:r>
        <w:rPr>
          <w:rFonts w:ascii="Times New Roman" w:cs="Times New Roman" w:eastAsia="Times New Roman" w:hAnsi="Times New Roman"/>
          <w:sz w:val="18"/>
          <w:szCs w:val="18"/>
          <w:color w:val="auto"/>
        </w:rPr>
        <w:t>(Commission File No. 001-38071)</w:t>
      </w:r>
    </w:p>
    <w:p>
      <w:pPr>
        <w:spacing w:after="0" w:line="9" w:lineRule="exact"/>
        <w:rPr>
          <w:sz w:val="24"/>
          <w:szCs w:val="24"/>
          <w:color w:val="auto"/>
        </w:rPr>
      </w:pPr>
    </w:p>
    <w:p>
      <w:pPr>
        <w:ind w:left="6400"/>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ind w:left="6400"/>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ind w:left="6400"/>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ind w:left="6400"/>
        <w:spacing w:after="0"/>
        <w:rPr>
          <w:sz w:val="20"/>
          <w:szCs w:val="20"/>
          <w:color w:val="auto"/>
        </w:rPr>
      </w:pPr>
      <w:r>
        <w:rPr>
          <w:rFonts w:ascii="Times New Roman" w:cs="Times New Roman" w:eastAsia="Times New Roman" w:hAnsi="Times New Roman"/>
          <w:sz w:val="18"/>
          <w:szCs w:val="18"/>
          <w:color w:val="auto"/>
        </w:rPr>
        <w:t>Subject Company: NCS Multistage Holdings, Inc.</w:t>
      </w:r>
    </w:p>
    <w:p>
      <w:pPr>
        <w:spacing w:after="0" w:line="9" w:lineRule="exact"/>
        <w:rPr>
          <w:sz w:val="24"/>
          <w:szCs w:val="24"/>
          <w:color w:val="auto"/>
        </w:rPr>
      </w:pPr>
    </w:p>
    <w:p>
      <w:pPr>
        <w:ind w:left="6400"/>
        <w:spacing w:after="0"/>
        <w:rPr>
          <w:sz w:val="20"/>
          <w:szCs w:val="20"/>
          <w:color w:val="auto"/>
        </w:rPr>
      </w:pPr>
      <w:r>
        <w:rPr>
          <w:rFonts w:ascii="Times New Roman" w:cs="Times New Roman" w:eastAsia="Times New Roman" w:hAnsi="Times New Roman"/>
          <w:sz w:val="18"/>
          <w:szCs w:val="18"/>
          <w:color w:val="auto"/>
        </w:rPr>
        <w:t>(Commission File No. 001-38071)</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following email was sent to customers of NCS Multistage Holdings, Inc. on June 1, 2026:</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color w:val="auto"/>
        </w:rPr>
        <w:t>NCS Multistage to Combine with Weatherford</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[NAME],</w:t>
      </w:r>
    </w:p>
    <w:p>
      <w:pPr>
        <w:spacing w:after="0" w:line="22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 am writing with an important update about NCS Multistage. Today, we announced that NCS has agreed to be acquired by Weatherford International plc in a transaction consisting of cash and stock. You can read the joint press release here:</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https://ir.ncsmultistage.com/news-releases/news-release-details/weatherford-announces-definitive-agreement-acquire-ncs</w:t>
      </w:r>
    </w:p>
    <w:p>
      <w:pPr>
        <w:spacing w:after="0" w:line="225" w:lineRule="exact"/>
        <w:rPr>
          <w:sz w:val="24"/>
          <w:szCs w:val="24"/>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you know, Weatherford is a leading global energy services company with a deep product and services portfolio across drilling, well construction, completions, and production, and an international footprint that spans dozens of countries. Their products and services are highly complementary to ours, and we believe this combination will allow us to deliver an even broader, more integrated set of solutions across the full life of the well — supported by Weatherford’s scale, technology, supply chain, and global reach.</w:t>
      </w:r>
    </w:p>
    <w:p>
      <w:pPr>
        <w:spacing w:after="0" w:line="180"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Until the transaction closes, which we currently expect in the second half of 2026, subject to certain customary closing conditions, including regulatory approvals, NCS and Weatherford will continue to operate as separate, independent companies. This applies equally across NCS, Repeat Precision, and ResMetrics, each will continue to operate under its current name with the same teams, products, and points of contact. It is business as usual. There will be no changes to our current product offerings, services, or commercial agreements as a result of the pending transaction, and you can expect the same level of sales and engineering support, technical service, and operational excellence you have come to know from our team.</w:t>
      </w:r>
    </w:p>
    <w:p>
      <w:pPr>
        <w:spacing w:after="0" w:line="183"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committed to a smooth transition and to keeping you informed as we work toward closing. If you have any questions, please reach out to me or to your regular contact at [</w:t>
      </w:r>
      <w:r>
        <w:rPr>
          <w:rFonts w:ascii="Times New Roman" w:cs="Times New Roman" w:eastAsia="Times New Roman" w:hAnsi="Times New Roman"/>
          <w:sz w:val="18"/>
          <w:szCs w:val="18"/>
          <w:color w:val="auto"/>
          <w:highlight w:val="yellow"/>
        </w:rPr>
        <w:t>[NCS][Repeat Precision][ResMetrics]</w:t>
      </w:r>
      <w:r>
        <w:rPr>
          <w:rFonts w:ascii="Times New Roman" w:cs="Times New Roman" w:eastAsia="Times New Roman" w:hAnsi="Times New Roman"/>
          <w:sz w:val="18"/>
          <w:szCs w:val="18"/>
          <w:color w:val="auto"/>
        </w:rPr>
        <w:t>].</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partnership and we look forward to continuing to serve you.</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Best regards,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20"/>
          </w:cols>
          <w:pgMar w:left="440" w:top="229"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includes statements, which, to the extent they are not statements of historical or present fact, constitute “forward-looking statements” within the meaning of the U.S. Private Securities Litigation Reform Act of 1995. Forward-looking statements, and any related oral statements, can be identified by the use of terms such as “believe,” “project,” “expect,” “anticipate,” “estimate,” “outlook,” “budget,” “intend,” “strategy,” “plan,” “guidance,” “may,” “should,” “could,” “will,” “would,” “will be,” “will continue,” “will likely result,” and similar expressions, although not all forward-looking statements contain these identifying words. These statements include, but are not limited to, statements about the expected timing and completion of the proposed transaction between Weatherford International plc (“Weatherford”) and NCS Multistage Holdings, Inc. (“NCS Multistage”), the anticipated benefits of the proposed transaction, and plans and expectations for the new combined company after the completion of the proposed transaction. Such statements are based upon the current beliefs of Weatherford’s and NCS Multistage’s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estimates and may differ materially from actual future events or results, based on factors including but not limited to the ability to complete the proposed transaction on the timeframe or on the terms currently anticipated or at all, including due to a failure to obtain requisite regulatory approvals; risks related to difficulties, inabilities or delays in integrating the parties’ businesses; the ability to realize the anticipated benefits of the proposed transaction, including estimated synergies; the occurrence of any event, change or other circumstance that could give rise to the right of either or both parties to terminate the Merger Agreement; the potential impact of the announcement or consummation of the proposed transaction on the parties’ stock price and on their respective business, contractual and operational relationships; risks related to business disruptions from the proposed transaction that may harm the business or current plans and operations of either or both parties, including diversion of management time from ongoing business operations; the risk that the proposed transaction and its announcement could have an adverse effect on the ability of either or both parties to hire and retain key personnel; the outcome of any legal proceedings that may be instituted against Weatherford or NCS Multistage, or their respective directors; the possibility that the proposed transaction may be more expensive to complete than anticipated, including as a result of unexpected factors or events, or unforeseen or unknown liabilities; as well as the factors and risks described in Weatherford’s Annual Report on Form 10-K for the year ended December 31, 2025 and NCS Multistage’s Annual Report on Form 10-K for the year ended December 31, 2025, and, in each case, in subsequent filings with the U.S. Securities and Exchange Commission. Other unpredictable factors not discussed in this communication could also have material adverse effects on forward-looking statements. You should not place undue reliance on any of NCS Multistage’s forward-looking statements.</w:t>
      </w:r>
    </w:p>
    <w:p>
      <w:pPr>
        <w:spacing w:after="0" w:line="20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such statement is made, and NCS Multistage undertakes no obligation to correct or update any forward-looking statement, whether as a result of new information, future events or otherwise, except as required by applicable law, and we caution you not to rely on them unduly.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or in a transaction exempt from the registration requirements of the Securities Act.</w:t>
      </w:r>
    </w:p>
    <w:p>
      <w:pPr>
        <w:sectPr>
          <w:pgSz w:w="11900" w:h="16838" w:orient="portrait"/>
          <w:cols w:equalWidth="0" w:num="1">
            <w:col w:w="11000"/>
          </w:cols>
          <w:pgMar w:left="440"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About the Transaction and Where to Find It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Weatherford intends to file a registration statement on Form S-4 (the “Form S-4”) that also constitutes a prospectus of Weatherford with respect to the shares of Weatherford to be issued in the proposed transaction (the “prospectus”) and NCS Multistage intends to file an information statement on Schedule 14C, with the Securities and Exchange Commission (the “SEC”). Each of Weatherford and NCS Multistage may also file other relevant documents with the SEC regarding the proposed transaction. This document is not a substitute for the Form S-4 or prospectus or any other document that Weatherford or NCS Multistage may file with the SEC. INVESTORS AND SECURITY HOLDERS ARE URGED TO READ THE REGISTRATION STATEMENT, THE INFORMATION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information statement/prospectus (if and when available) and other documents containing important information about Weatherford, NCS Multistage and the proposed transaction, once such documents are filed with the SEC through the website maintained by the SEC at http://www.sec.gov. Copies of the documents filed with, or furnished to, the SEC by Weatherford will be available free of charge on Weatherford’s website at https://weatherford.com/investor-relations/home. Copies of the documents filed with, or furnished to, the SEC by NCS Multistage will be available free of charge on NCS Multistage’s website at https://ir.ncsmultistage.com. The information included on, or accessible through, Weatherford’s or NCS Multistage’s website is not incorporated by reference into this communication.</w:t>
      </w:r>
    </w:p>
    <w:sectPr>
      <w:pgSz w:w="11900" w:h="16838" w:orient="portrait"/>
      <w:cols w:equalWidth="0" w:num="1">
        <w:col w:w="10920"/>
      </w:cols>
      <w:pgMar w:left="440"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2026-06-02T05:13:49Z</dcterms:created>
  <dcterms:modified xsi:type="dcterms:W3CDTF">2026-06-02T05:13:49Z</dcterms:modified>
</cp:coreProperties>
</file>